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6F44C7" w:rsidRDefault="00B650DC" w:rsidP="00B650DC">
      <w:pPr>
        <w:widowControl w:val="0"/>
        <w:spacing w:line="322" w:lineRule="exact"/>
        <w:ind w:firstLine="74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6F44C7">
        <w:rPr>
          <w:b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B650DC" w:rsidRPr="001D126A" w:rsidRDefault="00B650DC" w:rsidP="00200B53">
      <w:pPr>
        <w:ind w:firstLine="708"/>
        <w:jc w:val="both"/>
        <w:rPr>
          <w:rStyle w:val="fontstyle31"/>
          <w:sz w:val="28"/>
          <w:szCs w:val="28"/>
          <w:lang w:val="uk-UA"/>
        </w:rPr>
      </w:pP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Відповідно до Конц</w:t>
      </w:r>
      <w:r w:rsidR="00A427B3">
        <w:rPr>
          <w:rStyle w:val="fontstyle31"/>
          <w:rFonts w:ascii="Times New Roman" w:hAnsi="Times New Roman"/>
          <w:sz w:val="28"/>
          <w:szCs w:val="28"/>
          <w:lang w:val="uk-UA"/>
        </w:rPr>
        <w:t>епції «Нова українська школа»,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завдань Базового компоненту дошкіл</w:t>
      </w:r>
      <w:r w:rsidR="00A427B3">
        <w:rPr>
          <w:rStyle w:val="fontstyle31"/>
          <w:rFonts w:ascii="Times New Roman" w:hAnsi="Times New Roman"/>
          <w:sz w:val="28"/>
          <w:szCs w:val="28"/>
          <w:lang w:val="uk-UA"/>
        </w:rPr>
        <w:t>ьної освіти ключовими підходами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</w:t>
      </w:r>
      <w:r w:rsidR="00A427B3">
        <w:rPr>
          <w:rStyle w:val="fontstyle31"/>
          <w:rFonts w:ascii="Times New Roman" w:hAnsi="Times New Roman"/>
          <w:sz w:val="28"/>
          <w:szCs w:val="28"/>
          <w:lang w:val="uk-UA"/>
        </w:rPr>
        <w:t>реформування освіти та забезпечення її якості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є</w:t>
      </w:r>
      <w:r w:rsidR="005F632E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F632E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="00A427B3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 </w:t>
      </w:r>
      <w:r w:rsidR="005F632E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особистісно</w:t>
      </w:r>
      <w:r w:rsidR="00900B5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орієнтований</w:t>
      </w:r>
      <w:r w:rsidR="00A427B3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діяльнісний підхід до розвитку, 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виховання</w:t>
      </w:r>
      <w:r w:rsidR="00A427B3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 навчання </w:t>
      </w:r>
      <w:r w:rsidR="00553263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дитини, використання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педагогіки партнерства</w:t>
      </w:r>
      <w:r w:rsidR="009D4F43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[1].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Означене потребує ґрунтовної підгото</w:t>
      </w:r>
      <w:r w:rsidR="00552429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вки педагогів до при</w:t>
      </w:r>
      <w:r w:rsidR="005F632E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йняття нових для них професійних</w:t>
      </w:r>
      <w:r w:rsidR="00552429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</w:t>
      </w:r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розвитку), застосування новітніх діяльнісних та інтерактивних методів навчання, розвивальних ресурсів нового освітнього середовища. </w:t>
      </w:r>
    </w:p>
    <w:p w:rsidR="00B650DC" w:rsidRPr="001D126A" w:rsidRDefault="00DF25DA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Д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соціум і професійну самореалізацію [3]. 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особистісного та професійного саморозвитку, створення умов для утвердження гуманістичних,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дитиноцентричних</w:t>
      </w:r>
      <w:proofErr w:type="spellEnd"/>
      <w:r w:rsidRPr="001D126A">
        <w:rPr>
          <w:color w:val="000000"/>
          <w:sz w:val="28"/>
          <w:szCs w:val="28"/>
          <w:lang w:val="uk-UA" w:eastAsia="uk-UA" w:bidi="uk-UA"/>
        </w:rPr>
        <w:t xml:space="preserve"> цінностей, подолання професійних стереотипів, профілактики професійних деформацій, розвитку професійного мислення, зміни професійної поведінки.</w:t>
      </w:r>
    </w:p>
    <w:p w:rsidR="00B650DC" w:rsidRPr="001D126A" w:rsidRDefault="00DF25DA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Д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>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щоб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гра, отже важливо використати саме її потенціал для забезпечення психологічних передумов формування навчальної 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для опанування ігрових методів навчання педагогами закладів дошкільної освіти є ігрова технологія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У програмі розвитку дитини від 2 до 6 років «Безмежний світ гри з LEGO» для заклад</w:t>
      </w:r>
      <w:r w:rsidR="00B4649C">
        <w:rPr>
          <w:color w:val="000000"/>
          <w:sz w:val="28"/>
          <w:szCs w:val="28"/>
          <w:lang w:val="uk-UA" w:eastAsia="uk-UA" w:bidi="uk-UA"/>
        </w:rPr>
        <w:t xml:space="preserve">ів дошкільної освіти зазначено, що </w:t>
      </w:r>
      <w:r w:rsidRPr="001D126A">
        <w:rPr>
          <w:color w:val="000000"/>
          <w:sz w:val="28"/>
          <w:szCs w:val="28"/>
          <w:lang w:val="uk-UA" w:eastAsia="uk-UA" w:bidi="uk-UA"/>
        </w:rPr>
        <w:t>«LEGO  дає можливість педагогові глибоко осягнути поняття «навчання через гру» і практично реалізувати цей підхід у роботі з дітьми. Дитина пізнає світ на власному досвіді і в контексті, який для неї є цікавим і змістовним</w:t>
      </w:r>
      <w:r w:rsidR="00DF25DA">
        <w:rPr>
          <w:color w:val="000000"/>
          <w:sz w:val="28"/>
          <w:szCs w:val="28"/>
          <w:lang w:val="uk-UA" w:eastAsia="uk-UA" w:bidi="uk-UA"/>
        </w:rPr>
        <w:t>. Відкриті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завдання </w:t>
      </w:r>
      <w:r w:rsidR="00DF25DA">
        <w:rPr>
          <w:color w:val="000000"/>
          <w:sz w:val="28"/>
          <w:szCs w:val="28"/>
          <w:lang w:val="uk-UA" w:eastAsia="uk-UA" w:bidi="uk-UA"/>
        </w:rPr>
        <w:t>стимулюють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406362">
        <w:rPr>
          <w:color w:val="000000"/>
          <w:sz w:val="28"/>
          <w:szCs w:val="28"/>
          <w:lang w:val="uk-UA" w:eastAsia="uk-UA" w:bidi="uk-UA"/>
        </w:rPr>
        <w:t>кають</w:t>
      </w:r>
      <w:bookmarkStart w:id="0" w:name="_GoBack"/>
      <w:bookmarkEnd w:id="0"/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як самостійно, так і в команді; вчитися одне в одного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>і в разі необхідності вправлятися у знаходженні компромісів і оптимальних рішень. Тобто дитина проходить підготовку до школи, але школи не як установи, а школи життя. А це і має бути першочерговим завданням дошкільної освіти» [4].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B4649C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B4649C">
        <w:rPr>
          <w:color w:val="000000"/>
          <w:sz w:val="28"/>
          <w:szCs w:val="28"/>
          <w:lang w:val="uk-UA" w:eastAsia="uk-UA" w:bidi="uk-UA"/>
        </w:rPr>
        <w:t xml:space="preserve"> в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DF25DA" w:rsidP="00DF25DA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 пізнавальне навантаження (</w:t>
      </w:r>
      <w:proofErr w:type="spellStart"/>
      <w:r w:rsidR="00B650DC" w:rsidRPr="00740B2D">
        <w:rPr>
          <w:color w:val="000000"/>
          <w:sz w:val="28"/>
          <w:szCs w:val="28"/>
          <w:lang w:val="uk-UA" w:eastAsia="uk-UA" w:bidi="uk-UA"/>
        </w:rPr>
        <w:t>посильність</w:t>
      </w:r>
      <w:proofErr w:type="spellEnd"/>
      <w:r w:rsidR="00B650DC" w:rsidRPr="00740B2D">
        <w:rPr>
          <w:color w:val="000000"/>
          <w:sz w:val="28"/>
          <w:szCs w:val="28"/>
          <w:lang w:val="uk-UA" w:eastAsia="uk-UA" w:bidi="uk-UA"/>
        </w:rPr>
        <w:t xml:space="preserve"> засвоєння матеріалу);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розвитку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системоутворювал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ьних</w:t>
      </w:r>
      <w:proofErr w:type="spellEnd"/>
      <w:r w:rsidR="009B25F7" w:rsidRPr="001D126A">
        <w:rPr>
          <w:color w:val="000000"/>
          <w:sz w:val="28"/>
          <w:szCs w:val="28"/>
          <w:lang w:val="uk-UA" w:eastAsia="uk-UA" w:bidi="uk-UA"/>
        </w:rPr>
        <w:t xml:space="preserve"> професійних умінь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 використання і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грових методів навчання в освітньому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процесі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закладі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 xml:space="preserve"> плануванні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ігрової діяльності дошкільників та забезпечення формування ігрової компетентності дитини відповідно до завдань Базо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>в</w:t>
      </w:r>
      <w:r w:rsidRPr="001D126A">
        <w:rPr>
          <w:color w:val="000000"/>
          <w:sz w:val="28"/>
          <w:szCs w:val="28"/>
          <w:lang w:val="uk-UA" w:eastAsia="uk-UA" w:bidi="uk-UA"/>
        </w:rPr>
        <w:t>ого компоненту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розвитку значущих професійних якостей педагогів, у тому числі гнучкості поведінки та мислення,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саморегуляції.   </w:t>
      </w:r>
    </w:p>
    <w:p w:rsidR="00D7778C" w:rsidRPr="001D126A" w:rsidRDefault="0035638E" w:rsidP="00200B53">
      <w:pPr>
        <w:ind w:firstLine="426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>Список використаних джерел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26 с.</w:t>
      </w:r>
    </w:p>
    <w:p w:rsidR="009D4F43" w:rsidRPr="00B464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2. Леонтьев А. Н. </w:t>
      </w:r>
      <w:r w:rsidR="005F632E" w:rsidRPr="001D126A">
        <w:rPr>
          <w:rStyle w:val="fontstyle01"/>
          <w:lang w:val="uk-UA"/>
        </w:rPr>
        <w:t xml:space="preserve"> </w:t>
      </w:r>
      <w:proofErr w:type="gramStart"/>
      <w:r w:rsidR="006F44C7" w:rsidRPr="001D126A">
        <w:rPr>
          <w:rStyle w:val="fontstyle01"/>
        </w:rPr>
        <w:t xml:space="preserve">Категория </w:t>
      </w:r>
      <w:r w:rsidR="005F632E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деятельности</w:t>
      </w:r>
      <w:proofErr w:type="gramEnd"/>
      <w:r w:rsidR="006F44C7" w:rsidRPr="001D126A">
        <w:rPr>
          <w:rStyle w:val="fontstyle01"/>
        </w:rPr>
        <w:t xml:space="preserve">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 xml:space="preserve">в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>современной</w:t>
      </w:r>
      <w:r w:rsidR="005F632E" w:rsidRPr="001D126A">
        <w:rPr>
          <w:rStyle w:val="fontstyle01"/>
          <w:lang w:val="uk-UA"/>
        </w:rPr>
        <w:t xml:space="preserve">                   </w:t>
      </w:r>
      <w:r w:rsidR="00B4649C">
        <w:rPr>
          <w:rStyle w:val="fontstyle01"/>
        </w:rPr>
        <w:t xml:space="preserve"> психологи. </w:t>
      </w:r>
      <w:r w:rsidRPr="00B4649C">
        <w:rPr>
          <w:rStyle w:val="fontstyle01"/>
          <w:rFonts w:ascii="Times New Roman" w:hAnsi="Times New Roman"/>
          <w:i/>
        </w:rPr>
        <w:t>Вопросы психологии</w:t>
      </w:r>
      <w:r w:rsidRPr="001D126A">
        <w:rPr>
          <w:rStyle w:val="fontstyle01"/>
        </w:rPr>
        <w:t>. 1979.</w:t>
      </w:r>
      <w:r w:rsidR="006F44C7" w:rsidRPr="001D126A">
        <w:rPr>
          <w:rStyle w:val="fontstyle01"/>
        </w:rPr>
        <w:t xml:space="preserve"> № 3.</w:t>
      </w:r>
      <w:r w:rsidR="00B4649C">
        <w:rPr>
          <w:rStyle w:val="fontstyle01"/>
          <w:lang w:val="uk-UA"/>
        </w:rPr>
        <w:t xml:space="preserve"> С. 7-9.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3. Як </w:t>
      </w:r>
      <w:proofErr w:type="spellStart"/>
      <w:r w:rsidR="006F44C7" w:rsidRPr="001D126A">
        <w:rPr>
          <w:rStyle w:val="fontstyle01"/>
        </w:rPr>
        <w:t>засвоїти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proofErr w:type="gramStart"/>
      <w:r w:rsidR="006F44C7" w:rsidRPr="001D126A">
        <w:rPr>
          <w:rStyle w:val="fontstyle01"/>
        </w:rPr>
        <w:t>знання</w:t>
      </w:r>
      <w:proofErr w:type="spellEnd"/>
      <w:r w:rsidR="006F44C7" w:rsidRPr="001D126A">
        <w:rPr>
          <w:rStyle w:val="fontstyle01"/>
        </w:rPr>
        <w:t xml:space="preserve"> </w:t>
      </w:r>
      <w:r w:rsidR="00552429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в</w:t>
      </w:r>
      <w:proofErr w:type="gram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дії</w:t>
      </w:r>
      <w:proofErr w:type="spellEnd"/>
      <w:r w:rsidR="006F44C7" w:rsidRPr="001D126A">
        <w:rPr>
          <w:rStyle w:val="fontstyle01"/>
        </w:rPr>
        <w:t xml:space="preserve">. </w:t>
      </w:r>
      <w:proofErr w:type="spellStart"/>
      <w:r w:rsidR="006F44C7" w:rsidRPr="001D126A">
        <w:rPr>
          <w:rStyle w:val="fontstyle01"/>
        </w:rPr>
        <w:t>Застосування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діяльнісного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підходу</w:t>
      </w:r>
      <w:proofErr w:type="spellEnd"/>
      <w:r w:rsidR="006F44C7" w:rsidRPr="001D126A">
        <w:rPr>
          <w:rStyle w:val="fontstyle01"/>
        </w:rPr>
        <w:t xml:space="preserve"> в</w:t>
      </w:r>
      <w:r w:rsidRPr="001D126A">
        <w:rPr>
          <w:rStyle w:val="fontstyle01"/>
          <w:lang w:val="uk-UA"/>
        </w:rPr>
        <w:t xml:space="preserve"> </w:t>
      </w:r>
      <w:proofErr w:type="spellStart"/>
      <w:r w:rsidR="006F44C7" w:rsidRPr="001D126A">
        <w:rPr>
          <w:rStyle w:val="fontstyle01"/>
        </w:rPr>
        <w:t>н</w:t>
      </w:r>
      <w:r w:rsidR="00552429" w:rsidRPr="001D126A">
        <w:rPr>
          <w:rStyle w:val="fontstyle01"/>
        </w:rPr>
        <w:t>авчанні</w:t>
      </w:r>
      <w:proofErr w:type="spellEnd"/>
      <w:r w:rsidR="00552429" w:rsidRPr="001D126A">
        <w:rPr>
          <w:rStyle w:val="fontstyle01"/>
        </w:rPr>
        <w:t>.</w:t>
      </w:r>
      <w:r w:rsidR="00552429" w:rsidRPr="001D126A">
        <w:rPr>
          <w:rStyle w:val="fontstyle01"/>
          <w:lang w:val="uk-UA"/>
        </w:rPr>
        <w:t xml:space="preserve"> [Електронний </w:t>
      </w:r>
      <w:r w:rsidRPr="001D126A">
        <w:rPr>
          <w:rStyle w:val="fontstyle01"/>
          <w:lang w:val="uk-UA"/>
        </w:rPr>
        <w:t>ресурс].</w:t>
      </w:r>
      <w:r w:rsidR="00552429" w:rsidRPr="001D126A">
        <w:rPr>
          <w:rStyle w:val="fontstyle01"/>
          <w:lang w:val="uk-UA"/>
        </w:rPr>
        <w:t xml:space="preserve"> </w:t>
      </w:r>
      <w:proofErr w:type="spellStart"/>
      <w:r w:rsidR="00552429" w:rsidRPr="001D126A">
        <w:rPr>
          <w:rStyle w:val="fontstyle01"/>
          <w:lang w:val="uk-UA"/>
        </w:rPr>
        <w:t>Режимдоступу</w:t>
      </w:r>
      <w:proofErr w:type="spellEnd"/>
      <w:r w:rsidR="00552429" w:rsidRPr="001D126A">
        <w:rPr>
          <w:rStyle w:val="fontstyle01"/>
          <w:lang w:val="uk-UA"/>
        </w:rPr>
        <w:t>:</w:t>
      </w:r>
      <w:r w:rsidR="00B4649C">
        <w:rPr>
          <w:rStyle w:val="fontstyle01"/>
          <w:lang w:val="uk-UA"/>
        </w:rPr>
        <w:t xml:space="preserve"> </w:t>
      </w:r>
      <w:hyperlink r:id="rId5" w:history="1"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http</w:t>
        </w:r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www</w:t>
        </w:r>
        <w:proofErr w:type="spellEnd"/>
      </w:hyperlink>
      <w:r w:rsidRPr="001D126A">
        <w:rPr>
          <w:rStyle w:val="fontstyle01"/>
          <w:color w:val="auto"/>
          <w:lang w:val="uk-UA"/>
        </w:rPr>
        <w:t xml:space="preserve"> </w:t>
      </w:r>
      <w:proofErr w:type="spellStart"/>
      <w:r w:rsidR="006F44C7" w:rsidRPr="001D126A">
        <w:rPr>
          <w:rStyle w:val="fontstyle01"/>
        </w:rPr>
        <w:t>osvitaua</w:t>
      </w:r>
      <w:proofErr w:type="spellEnd"/>
      <w:r w:rsidR="006F44C7" w:rsidRPr="001D126A">
        <w:rPr>
          <w:rStyle w:val="fontstyle01"/>
          <w:lang w:val="uk-UA"/>
        </w:rPr>
        <w:t>.</w:t>
      </w:r>
      <w:proofErr w:type="spellStart"/>
      <w:r w:rsidR="006F44C7" w:rsidRPr="001D126A">
        <w:rPr>
          <w:rStyle w:val="fontstyle01"/>
        </w:rPr>
        <w:t>com</w:t>
      </w:r>
      <w:proofErr w:type="spellEnd"/>
      <w:r w:rsidR="006F44C7" w:rsidRPr="001D126A">
        <w:rPr>
          <w:rStyle w:val="fontstyle01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rStyle w:val="fontstyle01"/>
          <w:lang w:val="uk-UA"/>
        </w:rPr>
        <w:t>4. 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E36544" w:rsidRPr="001D126A" w:rsidRDefault="007F4D8C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                                              </w:t>
      </w:r>
      <w:r w:rsidR="00552429" w:rsidRPr="001D126A">
        <w:rPr>
          <w:sz w:val="28"/>
          <w:szCs w:val="28"/>
          <w:lang w:val="uk-UA"/>
        </w:rPr>
        <w:t xml:space="preserve">     </w:t>
      </w:r>
    </w:p>
    <w:sectPr w:rsidR="00E36544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A222F"/>
    <w:rsid w:val="001D126A"/>
    <w:rsid w:val="00200B53"/>
    <w:rsid w:val="00226D38"/>
    <w:rsid w:val="00241BB9"/>
    <w:rsid w:val="002B41D9"/>
    <w:rsid w:val="002C5DEB"/>
    <w:rsid w:val="002F1992"/>
    <w:rsid w:val="0035638E"/>
    <w:rsid w:val="00371858"/>
    <w:rsid w:val="003736E3"/>
    <w:rsid w:val="003C2878"/>
    <w:rsid w:val="00406362"/>
    <w:rsid w:val="00552429"/>
    <w:rsid w:val="00553263"/>
    <w:rsid w:val="005873D3"/>
    <w:rsid w:val="005F632E"/>
    <w:rsid w:val="006F44C7"/>
    <w:rsid w:val="00740B2D"/>
    <w:rsid w:val="007A42F3"/>
    <w:rsid w:val="007E00E6"/>
    <w:rsid w:val="007F4D8C"/>
    <w:rsid w:val="008464A1"/>
    <w:rsid w:val="00900B55"/>
    <w:rsid w:val="00914A78"/>
    <w:rsid w:val="009B25F7"/>
    <w:rsid w:val="009D4F43"/>
    <w:rsid w:val="009E125B"/>
    <w:rsid w:val="009E3688"/>
    <w:rsid w:val="00A27A59"/>
    <w:rsid w:val="00A427B3"/>
    <w:rsid w:val="00AD34A8"/>
    <w:rsid w:val="00B4649C"/>
    <w:rsid w:val="00B650DC"/>
    <w:rsid w:val="00C956D6"/>
    <w:rsid w:val="00D7778C"/>
    <w:rsid w:val="00DA4BFC"/>
    <w:rsid w:val="00DC47ED"/>
    <w:rsid w:val="00DF25DA"/>
    <w:rsid w:val="00E36544"/>
    <w:rsid w:val="00E924D6"/>
    <w:rsid w:val="00EE46A1"/>
    <w:rsid w:val="00F03929"/>
    <w:rsid w:val="00F30F3B"/>
    <w:rsid w:val="00F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9BA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39</cp:revision>
  <cp:lastPrinted>2021-01-13T10:37:00Z</cp:lastPrinted>
  <dcterms:created xsi:type="dcterms:W3CDTF">2020-12-29T13:00:00Z</dcterms:created>
  <dcterms:modified xsi:type="dcterms:W3CDTF">2021-12-06T09:58:00Z</dcterms:modified>
</cp:coreProperties>
</file>