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Про затвердження Типового положення про атестацію педагогічних працівників</w:t>
      </w: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Наказ МОН № 930 від 06.10.10 року</w:t>
      </w:r>
    </w:p>
    <w:p w:rsidR="003F03FF" w:rsidRPr="003F03FF" w:rsidRDefault="003F03FF" w:rsidP="003F03FF">
      <w:pPr>
        <w:spacing w:after="0"/>
        <w:ind w:firstLine="284"/>
        <w:jc w:val="center"/>
        <w:rPr>
          <w:rFonts w:ascii="Times New Roman" w:hAnsi="Times New Roman" w:cs="Times New Roman"/>
          <w:sz w:val="24"/>
          <w:szCs w:val="24"/>
        </w:rPr>
      </w:pP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МІНІСТЕРСТВО ОСВІТИ І НАУКИ УКРАЇНИ</w:t>
      </w: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НАКАЗ</w:t>
      </w:r>
    </w:p>
    <w:p w:rsidR="003F03FF" w:rsidRPr="003F03FF" w:rsidRDefault="003F03FF" w:rsidP="003F03FF">
      <w:pPr>
        <w:spacing w:after="0"/>
        <w:ind w:firstLine="284"/>
        <w:jc w:val="center"/>
        <w:rPr>
          <w:rFonts w:ascii="Times New Roman" w:hAnsi="Times New Roman" w:cs="Times New Roman"/>
          <w:sz w:val="24"/>
          <w:szCs w:val="24"/>
        </w:rPr>
      </w:pP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 930 від 06 жовтня 2010 року</w:t>
      </w:r>
    </w:p>
    <w:p w:rsidR="003F03FF" w:rsidRPr="003F03FF" w:rsidRDefault="003F03FF" w:rsidP="003F03FF">
      <w:pPr>
        <w:spacing w:after="0"/>
        <w:ind w:firstLine="284"/>
        <w:jc w:val="center"/>
        <w:rPr>
          <w:rFonts w:ascii="Times New Roman" w:hAnsi="Times New Roman" w:cs="Times New Roman"/>
          <w:sz w:val="24"/>
          <w:szCs w:val="24"/>
        </w:rPr>
      </w:pP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Зареєстровано</w:t>
      </w: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в Міністерстві юстиції України</w:t>
      </w: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14 грудня 2010 р. за № 1255/18550</w:t>
      </w:r>
    </w:p>
    <w:p w:rsidR="003F03FF" w:rsidRPr="003F03FF" w:rsidRDefault="003F03FF" w:rsidP="003F03FF">
      <w:pPr>
        <w:spacing w:after="0"/>
        <w:ind w:firstLine="284"/>
        <w:jc w:val="center"/>
        <w:rPr>
          <w:rFonts w:ascii="Times New Roman" w:hAnsi="Times New Roman" w:cs="Times New Roman"/>
          <w:sz w:val="24"/>
          <w:szCs w:val="24"/>
        </w:rPr>
      </w:pP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Про затвердження Типового положення</w:t>
      </w:r>
    </w:p>
    <w:p w:rsidR="003F03FF" w:rsidRPr="003F03FF" w:rsidRDefault="003F03FF" w:rsidP="003F03FF">
      <w:pPr>
        <w:spacing w:after="0"/>
        <w:ind w:firstLine="284"/>
        <w:jc w:val="center"/>
        <w:rPr>
          <w:rFonts w:ascii="Times New Roman" w:hAnsi="Times New Roman" w:cs="Times New Roman"/>
          <w:sz w:val="24"/>
          <w:szCs w:val="24"/>
        </w:rPr>
      </w:pPr>
      <w:r w:rsidRPr="003F03FF">
        <w:rPr>
          <w:rFonts w:ascii="Times New Roman" w:hAnsi="Times New Roman" w:cs="Times New Roman"/>
          <w:sz w:val="24"/>
          <w:szCs w:val="24"/>
        </w:rPr>
        <w:t>про атестацію педагогічних працівників</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частини четвертої статті 45 Закону України "Про професійно-технічну освіту", частини четвертої статті 48 Закону України "Про вищу освіту"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 Затвердити Типове положення про атестацію педагогічних працівників, що додається.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 Визнати такими, що втратили чинність, накази Міністерства освіти України від 20.08.93 № 310 "Про затвердження Типового положення про атестацію педагогічних працівників України", зареєстрований у Міністерстві юстиції України 02.12.93 за № 176, та від 01.12.98 № 419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 792/3232.</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 Контроль за виконанням цього наказу покласти на першого заступника Міністра Жебровського Б.М.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7. Наказ набирає чинності з дня його офіційного опублікування.</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Міністр       Д.В.Табачник</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ПОГОДЖЕНО: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Міністерство фінансів України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Заступник Міністра       А.І. Мярковський</w:t>
      </w: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lastRenderedPageBreak/>
        <w:t>ЗАТВЕРДЖЕНО</w:t>
      </w: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t>Наказ Міністерства</w:t>
      </w: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t>освіти і науки України</w:t>
      </w: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t>06.10.2010 № 930</w:t>
      </w:r>
    </w:p>
    <w:p w:rsidR="003F03FF" w:rsidRPr="003F03FF" w:rsidRDefault="003F03FF" w:rsidP="003F03FF">
      <w:pPr>
        <w:spacing w:after="0"/>
        <w:ind w:firstLine="284"/>
        <w:jc w:val="right"/>
        <w:rPr>
          <w:rFonts w:ascii="Times New Roman" w:hAnsi="Times New Roman" w:cs="Times New Roman"/>
          <w:sz w:val="24"/>
          <w:szCs w:val="24"/>
        </w:rPr>
      </w:pP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t>Зареєстровано в Міністерстві</w:t>
      </w: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t>юстиції України</w:t>
      </w: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t>14 грудня 2010 р.</w:t>
      </w:r>
    </w:p>
    <w:p w:rsidR="003F03FF" w:rsidRPr="003F03FF" w:rsidRDefault="003F03FF" w:rsidP="003F03FF">
      <w:pPr>
        <w:spacing w:after="0"/>
        <w:ind w:firstLine="284"/>
        <w:jc w:val="right"/>
        <w:rPr>
          <w:rFonts w:ascii="Times New Roman" w:hAnsi="Times New Roman" w:cs="Times New Roman"/>
          <w:sz w:val="24"/>
          <w:szCs w:val="24"/>
        </w:rPr>
      </w:pPr>
      <w:r w:rsidRPr="003F03FF">
        <w:rPr>
          <w:rFonts w:ascii="Times New Roman" w:hAnsi="Times New Roman" w:cs="Times New Roman"/>
          <w:sz w:val="24"/>
          <w:szCs w:val="24"/>
        </w:rPr>
        <w:t>за № 1255/18550</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jc w:val="center"/>
        <w:rPr>
          <w:rFonts w:ascii="Times New Roman" w:hAnsi="Times New Roman" w:cs="Times New Roman"/>
          <w:b/>
          <w:sz w:val="24"/>
          <w:szCs w:val="24"/>
        </w:rPr>
      </w:pPr>
      <w:r w:rsidRPr="003F03FF">
        <w:rPr>
          <w:rFonts w:ascii="Times New Roman" w:hAnsi="Times New Roman" w:cs="Times New Roman"/>
          <w:b/>
          <w:sz w:val="24"/>
          <w:szCs w:val="24"/>
        </w:rPr>
        <w:t>ТИПОВЕ ПОЛОЖЕННЯ</w:t>
      </w:r>
    </w:p>
    <w:p w:rsidR="003F03FF" w:rsidRPr="003F03FF" w:rsidRDefault="003F03FF" w:rsidP="003F03FF">
      <w:pPr>
        <w:spacing w:after="0"/>
        <w:ind w:firstLine="284"/>
        <w:jc w:val="center"/>
        <w:rPr>
          <w:rFonts w:ascii="Times New Roman" w:hAnsi="Times New Roman" w:cs="Times New Roman"/>
          <w:b/>
          <w:sz w:val="24"/>
          <w:szCs w:val="24"/>
        </w:rPr>
      </w:pPr>
      <w:r w:rsidRPr="003F03FF">
        <w:rPr>
          <w:rFonts w:ascii="Times New Roman" w:hAnsi="Times New Roman" w:cs="Times New Roman"/>
          <w:b/>
          <w:sz w:val="24"/>
          <w:szCs w:val="24"/>
        </w:rPr>
        <w:t>про атестацію педагогічних працівників</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rPr>
          <w:rFonts w:ascii="Times New Roman" w:hAnsi="Times New Roman" w:cs="Times New Roman"/>
          <w:b/>
          <w:sz w:val="24"/>
          <w:szCs w:val="24"/>
        </w:rPr>
      </w:pPr>
      <w:r w:rsidRPr="003F03FF">
        <w:rPr>
          <w:rFonts w:ascii="Times New Roman" w:hAnsi="Times New Roman" w:cs="Times New Roman"/>
          <w:b/>
          <w:sz w:val="24"/>
          <w:szCs w:val="24"/>
        </w:rPr>
        <w:t>I. Загальні положення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1.1. Це Типове положення визначає порядок проведення атестації педагогічних працівників дошкільних, загальноосвітніх, позашкільних, професійно-технічних, вищих навчальних закладів I-II рівнів акредитації незалежно від підпорядкування, типів і форм власності, навчально-методичних (науково-методичних) установ і закладів післядипломної педагогічної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 xml:space="preserve"> 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1.5. Атестація педагогічних працівників навчальних та інших закладів є обов'язковою.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1.6. Атестація може бути черговою або позачерговою. Чергова атестація здійснюється один раз на п'ять років.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1.7.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Ця вимога не розповсюджується на педагогічних працівників, які працюють перші п'ять років після закінчення вищого навчального закладу.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Для педагогічних працівників вищих навчальних закладів I-II рівнів акредитації підвищення кваліфікації може відбуватися у формі стажування.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1.8.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навчального закладу з метою присвоєння працівнику кваліфікаційної категорії, педагогічного звання та у разі зниження ним рівня професійної діяльності.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lastRenderedPageBreak/>
        <w:t>Позачергова атестація з метою підвищення кваліфікаційної категорії може проводитися не раніш як через три роки після присвоєння попередньої.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1.9. Центральні органи виконавчої влади, у підпорядкуванні яких є навчальні та інші заклади, на підставі цього Типового положення за погодженням з Міністерством освіти і науки України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3F03FF" w:rsidRPr="003F03FF" w:rsidRDefault="003F03FF" w:rsidP="003F03FF">
      <w:pPr>
        <w:spacing w:after="0"/>
        <w:ind w:firstLine="284"/>
        <w:rPr>
          <w:rFonts w:ascii="Times New Roman" w:hAnsi="Times New Roman" w:cs="Times New Roman"/>
          <w:b/>
          <w:sz w:val="24"/>
          <w:szCs w:val="24"/>
        </w:rPr>
      </w:pPr>
      <w:r w:rsidRPr="003F03FF">
        <w:rPr>
          <w:rFonts w:ascii="Times New Roman" w:hAnsi="Times New Roman" w:cs="Times New Roman"/>
          <w:b/>
          <w:sz w:val="24"/>
          <w:szCs w:val="24"/>
        </w:rPr>
        <w:t>II. Порядок створення та повноваження атестаційних комісій</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2.2. Атестаційні комісії I рівня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2.3. Атестаційні комісії II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2.4. Атестаційні комісії III рівня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органів управління освітою.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Кількість членів атестаційної комісії не може бути меншою семи осіб.</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профспілок,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I рівня, визначеними відповідним органом управління освітою, або атестаційними комісіями II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 xml:space="preserve">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w:t>
      </w:r>
      <w:r w:rsidRPr="003F03FF">
        <w:rPr>
          <w:rFonts w:ascii="Times New Roman" w:hAnsi="Times New Roman" w:cs="Times New Roman"/>
          <w:sz w:val="24"/>
          <w:szCs w:val="24"/>
        </w:rPr>
        <w:lastRenderedPageBreak/>
        <w:t>здоров'я, соціально-реабілітаційних центрів (дитячих містечок) здійснюється атестаційними комісіями II рівня за місцезнаходженням цих установ.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2.12. Атестаційні комісії I рівня мають право: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 атестувати педагогічних працівників на відповідність займаній посаді;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2.13. Атестаційні комісії II рівня мають право: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w:t>
      </w:r>
    </w:p>
    <w:p w:rsidR="003F03FF" w:rsidRPr="003F03FF" w:rsidRDefault="003F03FF" w:rsidP="003F03FF">
      <w:pPr>
        <w:spacing w:after="0"/>
        <w:ind w:firstLine="284"/>
        <w:rPr>
          <w:rFonts w:ascii="Times New Roman" w:hAnsi="Times New Roman" w:cs="Times New Roman"/>
          <w:sz w:val="24"/>
          <w:szCs w:val="24"/>
        </w:rPr>
      </w:pPr>
      <w:r>
        <w:rPr>
          <w:rFonts w:ascii="Times New Roman" w:hAnsi="Times New Roman" w:cs="Times New Roman"/>
          <w:sz w:val="24"/>
          <w:szCs w:val="24"/>
          <w:lang w:val="uk-UA"/>
        </w:rPr>
        <w:t xml:space="preserve">6) </w:t>
      </w:r>
      <w:r w:rsidRPr="003F03FF">
        <w:rPr>
          <w:rFonts w:ascii="Times New Roman" w:hAnsi="Times New Roman" w:cs="Times New Roman"/>
          <w:sz w:val="24"/>
          <w:szCs w:val="24"/>
        </w:rPr>
        <w:t>розглядати апеляції на рішення атестаційних комісій I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2.14. Атестаційні комісії III рівня мають право: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 атестувати на відповідність займаній посаді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(для практичних психологів);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lastRenderedPageBreak/>
        <w:t>3)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за поданням атестаційних комісій II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 розглядати апеляції на рішення атестаційних комісій I та II рівнів.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3F03FF" w:rsidRPr="003F03FF" w:rsidRDefault="003F03FF" w:rsidP="003F03FF">
      <w:pPr>
        <w:spacing w:after="0"/>
        <w:ind w:firstLine="284"/>
        <w:rPr>
          <w:rFonts w:ascii="Times New Roman" w:hAnsi="Times New Roman" w:cs="Times New Roman"/>
          <w:b/>
          <w:sz w:val="24"/>
          <w:szCs w:val="24"/>
        </w:rPr>
      </w:pPr>
      <w:r w:rsidRPr="003F03FF">
        <w:rPr>
          <w:rFonts w:ascii="Times New Roman" w:hAnsi="Times New Roman" w:cs="Times New Roman"/>
          <w:b/>
          <w:sz w:val="24"/>
          <w:szCs w:val="24"/>
        </w:rPr>
        <w:t>III. Організація та строки проведення атестації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Працівники, що атестуються, ознайомлюються з графіком проведення атестації під підпис.</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3.4.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Педагогічний працівник не пізніш як за десять днів до проведення атестації ознайомлюється з характеристикою під підпис.</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3.5. Атестація педагогічних працівників здійснюється атестаційними комісіями у такі строки: комісіями I рівня - до 1 квітня, II рівня - до 10 квітня, III рівня - до 25 квітня.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lastRenderedPageBreak/>
        <w:t>3.7. Засідання атестаційної комісії оформлюється протоколом, який підписується всіма присутніми на засіданні членами атестаційної комісії.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Книга протоколів засідань атестаційної комісії повинна бути прошнурована, пронумерована і засвідчена підписом керівника закладу (органу управління освітою) та скріплена печаткою.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3.8. Засідання атестаційної комісії є правомочним, якщо на ньому присутні не менш як 2/3 її членів. Рішення атестаційної комісії приймаються шляхом таємного голосування більшістю присутніх на засіданні її членів. У разі однакової кількості голосів "за" і "проти" приймається рішення на користь працівника, який атестується.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3.9. За результатами атестації атестаційні комісії приймають такі рішення: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 педагогічний працівник відповідає займаній посаді;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 педагогічний працівник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педагогічного звання;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7) педагогічний працівник відповідає займаній посаді за умови виконання ним заходів, визначених атестаційною комісією;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8) педагогічний працівник не відповідає займаній посаді.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3.10. Рішення атестаційної комісії повідомляється педагогічному працівнику одразу після її засідання під підпис.</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3.11. Педагогічний працівник визнається таким, що відповідає займаній посаді, якщо: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 має відповідну освіту, що відповідає вимогам, визначеним нормативно-правовими актами у галузі освіти;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 виконує посадові обов'язки у повному обсязі;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 пройшов підвищення кваліфікації.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lastRenderedPageBreak/>
        <w:t>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3.14.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3.15.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3.17. У разі поновлення на роботі педагогічного працівника, який раніше виконував цю роботу, незалежно від тривалості перерви у роботі, за ним зберігаються присвоєні за результатами останньої атестації кваліфікаційні категорії (тарифні розряди) та педагогічні звання.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Атестація таких працівників здійснюється, як правило, через рік після поновлення на роботі, але не пізніш як через два роки.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3.20.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й на педагогічне навантаження з інших предметів, які вони викладають та з яких пройшли підвищення кваліфікації.</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3.21.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3.22. За педагогічними працівниками, які переходять на роботу з одного навчального закладу до іншого навчального закладу системи загальної середньої освіти та системи дошкільної освіти, за наявності відповідної фахової освіти зберігаються присвоєні кваліфікаційні категорії (тарифні розряди) до наступної атестації, педагогічні звання.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Ця норма також поширюється на педагогічних працівників професійно-технічних навчальних закладів та вищих навчальних закладів I-II рівнів акредитації, які не входять до системи загальної середньої освіти.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lastRenderedPageBreak/>
        <w:t>За педагогічними працівниками, які переходять на посади методистів, зберігаються присвоєні попередньою атестацією кваліфікаційні категорії. Атестація таких працівників здійснюється як правило, через рік після переходу на посаду методиста, але не пізніш як через два роки.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3.23.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3.24.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3F03FF" w:rsidRPr="003F03FF" w:rsidRDefault="003F03FF" w:rsidP="003F03FF">
      <w:pPr>
        <w:spacing w:after="0"/>
        <w:ind w:firstLine="284"/>
        <w:rPr>
          <w:rFonts w:ascii="Times New Roman" w:hAnsi="Times New Roman" w:cs="Times New Roman"/>
          <w:b/>
          <w:sz w:val="24"/>
          <w:szCs w:val="24"/>
        </w:rPr>
      </w:pPr>
      <w:r w:rsidRPr="003F03FF">
        <w:rPr>
          <w:rFonts w:ascii="Times New Roman" w:hAnsi="Times New Roman" w:cs="Times New Roman"/>
          <w:b/>
          <w:sz w:val="24"/>
          <w:szCs w:val="24"/>
        </w:rPr>
        <w:t>IV. Умови та порядок присвоєння кваліфікаційних категорій</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вчителі - повну вищу педагогічну освіту з предметів, які викладають;</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соціальні педагоги - повну вищу педагогічну освіту зі спеціальності соціальна педагогіка;</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педагоги-організатори - повну вищу педагогічну освіту незалежно від спеціальності;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методисти методичних кабінетів (центрів), інститутів післядипломної педагогічної освіти - повну вищу педагогічну або іншу фахову освіту з напряму методична робота;</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практичні психологи - повну вищу освіту зі спеціальності практична психологія, психологія;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завідувачі логопедичними пунктами, логопеди - повну вищу педагогічну освіту зі спеціальності корекційна освіта;</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lastRenderedPageBreak/>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інструктори з фізкультури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інструктори з праці - повну вищу фахову педагогічну освіту.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4.3. Кваліфікаційна категорія "спеціаліст" присвоюється педагогічним працівникам з повною вищою освітою, які раніше не атестувалися й діяльність яких характеризується: здатністю забезпечувати засвоєння учнями, студентами, курсантами, слухачами, вихованцями (далі - учні)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компетентно 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активно впроваджують форми та методи організації </w:t>
      </w:r>
      <w:r w:rsidRPr="003F03FF">
        <w:rPr>
          <w:rFonts w:ascii="Times New Roman" w:hAnsi="Times New Roman" w:cs="Times New Roman"/>
          <w:sz w:val="24"/>
          <w:szCs w:val="24"/>
        </w:rPr>
        <w:lastRenderedPageBreak/>
        <w:t>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4.7. Присвоєння кваліфікаційних категорій за результатами атестації здійснюється послідовно.</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Педагогічні працівники, які в міжатестаційний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4.9.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можуть атестуватися не раніше, ніж через рік після початку роботи на посаді педагогічного працівника. Для присвоєння таким працівникам кваліфікаційної категорії "спеціаліст другої категорії" стаж роботи на виробництві або у сфері послуг має становити не менше двох років; "спеціаліст першої категорії" - не менше п'яти років; "спеціаліст вищої категорії" - не менше восьми років.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безперервно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3F03FF" w:rsidRPr="003F03FF" w:rsidRDefault="003F03FF" w:rsidP="003F03FF">
      <w:pPr>
        <w:spacing w:after="0"/>
        <w:ind w:firstLine="284"/>
        <w:rPr>
          <w:rFonts w:ascii="Times New Roman" w:hAnsi="Times New Roman" w:cs="Times New Roman"/>
          <w:b/>
          <w:sz w:val="24"/>
          <w:szCs w:val="24"/>
        </w:rPr>
      </w:pPr>
      <w:r w:rsidRPr="003F03FF">
        <w:rPr>
          <w:rFonts w:ascii="Times New Roman" w:hAnsi="Times New Roman" w:cs="Times New Roman"/>
          <w:b/>
          <w:sz w:val="24"/>
          <w:szCs w:val="24"/>
        </w:rPr>
        <w:t>V. Умови та порядок присвоєння педагогічних звань</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 xml:space="preserve">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w:t>
      </w:r>
      <w:r w:rsidRPr="003F03FF">
        <w:rPr>
          <w:rFonts w:ascii="Times New Roman" w:hAnsi="Times New Roman" w:cs="Times New Roman"/>
          <w:sz w:val="24"/>
          <w:szCs w:val="24"/>
        </w:rPr>
        <w:lastRenderedPageBreak/>
        <w:t>"керівник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вищих навчальних закладів I-II рівнів акредитації, закладів післядипломної освіти.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5.4. Педагогічним працівникам, які мають базову або неповну вищу педагогічну освіту, можуть присвоюватися педагогічні звання "вихователь-методист" (для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5.5. Педагогічне звання "майстер виробничого навчання I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5.7. Педагогічні звання присвоюються безстроково.</w:t>
      </w:r>
    </w:p>
    <w:p w:rsidR="003F03FF" w:rsidRPr="003F03FF" w:rsidRDefault="003F03FF" w:rsidP="003F03FF">
      <w:pPr>
        <w:spacing w:after="0"/>
        <w:ind w:firstLine="284"/>
        <w:rPr>
          <w:rFonts w:ascii="Times New Roman" w:hAnsi="Times New Roman" w:cs="Times New Roman"/>
          <w:b/>
          <w:sz w:val="24"/>
          <w:szCs w:val="24"/>
        </w:rPr>
      </w:pPr>
      <w:r w:rsidRPr="003F03FF">
        <w:rPr>
          <w:rFonts w:ascii="Times New Roman" w:hAnsi="Times New Roman" w:cs="Times New Roman"/>
          <w:b/>
          <w:sz w:val="24"/>
          <w:szCs w:val="24"/>
        </w:rPr>
        <w:t>VI. Рішення атестаційних комісій та порядок їх оскарження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 xml:space="preserve">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w:t>
      </w:r>
      <w:r w:rsidRPr="003F03FF">
        <w:rPr>
          <w:rFonts w:ascii="Times New Roman" w:hAnsi="Times New Roman" w:cs="Times New Roman"/>
          <w:sz w:val="24"/>
          <w:szCs w:val="24"/>
        </w:rPr>
        <w:lastRenderedPageBreak/>
        <w:t>освітою може бути прийнято рішення про розірвання трудового договору з додержанням вимог законодавства про працю.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6.5. 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6.6. Рішення атестаційних комісій можуть бути оскаржені до суду.</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6.7. Апеляція подається у письмовій формі безпосередньо до атестаційної комісії вищого рівня або направляється рекомендованим листом.</w:t>
      </w:r>
    </w:p>
    <w:p w:rsidR="003F03FF" w:rsidRPr="003F03FF" w:rsidRDefault="003F03FF" w:rsidP="003F03FF">
      <w:pPr>
        <w:spacing w:after="0"/>
        <w:ind w:firstLine="284"/>
        <w:rPr>
          <w:rFonts w:ascii="Times New Roman" w:hAnsi="Times New Roman" w:cs="Times New Roman"/>
          <w:sz w:val="24"/>
          <w:szCs w:val="24"/>
        </w:rPr>
      </w:pP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До апеляції додається копія атестаційного листа.</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6.8. Атестаційні комісії, до яких подаються апеляції, розглядають їх у двотижневий строк та приймають такі рішення: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1) про відповідність працівника займаній посаді та скасування рішення атестаційної комісії нижчого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2) присвоїти відповідну кваліфікаційну категорію та скасувати рішення атестаційної комісії нижчого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3) присвоїти відповідне педагогічне звання та скасувати рішення атестаційної комісії нижчого рівня;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4) залишити рішення атестаційної комісії без змін, а апеляцію без задоволення.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6.10. Питання атестації педагогічних працівників, не врегульовані цим Типовим положенням, вирішуються атестаційними комісіями III рівня відповідно до чинного законодавства України.</w:t>
      </w:r>
    </w:p>
    <w:p w:rsidR="003F03FF"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Директор департаменту загальної</w:t>
      </w:r>
    </w:p>
    <w:p w:rsidR="0019441B" w:rsidRPr="003F03FF" w:rsidRDefault="003F03FF" w:rsidP="003F03FF">
      <w:pPr>
        <w:spacing w:after="0"/>
        <w:ind w:firstLine="284"/>
        <w:rPr>
          <w:rFonts w:ascii="Times New Roman" w:hAnsi="Times New Roman" w:cs="Times New Roman"/>
          <w:sz w:val="24"/>
          <w:szCs w:val="24"/>
        </w:rPr>
      </w:pPr>
      <w:r w:rsidRPr="003F03FF">
        <w:rPr>
          <w:rFonts w:ascii="Times New Roman" w:hAnsi="Times New Roman" w:cs="Times New Roman"/>
          <w:sz w:val="24"/>
          <w:szCs w:val="24"/>
        </w:rPr>
        <w:t>середньої та дошкільної освіти       О.В.Єресько</w:t>
      </w:r>
    </w:p>
    <w:sectPr w:rsidR="0019441B" w:rsidRPr="003F03FF" w:rsidSect="003F03FF">
      <w:footerReference w:type="default" r:id="rId6"/>
      <w:pgSz w:w="11906" w:h="16838"/>
      <w:pgMar w:top="993" w:right="566" w:bottom="1134"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C9" w:rsidRDefault="00BE06C9" w:rsidP="003F03FF">
      <w:pPr>
        <w:spacing w:after="0" w:line="240" w:lineRule="auto"/>
      </w:pPr>
      <w:r>
        <w:separator/>
      </w:r>
    </w:p>
  </w:endnote>
  <w:endnote w:type="continuationSeparator" w:id="0">
    <w:p w:rsidR="00BE06C9" w:rsidRDefault="00BE06C9" w:rsidP="003F0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513579"/>
      <w:docPartObj>
        <w:docPartGallery w:val="Page Numbers (Bottom of Page)"/>
        <w:docPartUnique/>
      </w:docPartObj>
    </w:sdtPr>
    <w:sdtContent>
      <w:p w:rsidR="003F03FF" w:rsidRDefault="003F03FF">
        <w:pPr>
          <w:pStyle w:val="a5"/>
          <w:jc w:val="center"/>
          <w:rPr>
            <w:rFonts w:asciiTheme="majorHAnsi" w:hAnsiTheme="majorHAnsi"/>
            <w:sz w:val="28"/>
            <w:szCs w:val="28"/>
          </w:rPr>
        </w:pPr>
        <w:r>
          <w:rPr>
            <w:rFonts w:asciiTheme="majorHAnsi" w:hAnsiTheme="majorHAnsi"/>
            <w:sz w:val="28"/>
            <w:szCs w:val="28"/>
          </w:rPr>
          <w:t xml:space="preserve">~ </w:t>
        </w:r>
        <w:fldSimple w:instr=" PAGE    \* MERGEFORMAT ">
          <w:r w:rsidRPr="003F03FF">
            <w:rPr>
              <w:rFonts w:asciiTheme="majorHAnsi" w:hAnsiTheme="majorHAnsi"/>
              <w:noProof/>
              <w:sz w:val="28"/>
              <w:szCs w:val="28"/>
            </w:rPr>
            <w:t>4</w:t>
          </w:r>
        </w:fldSimple>
        <w:r>
          <w:rPr>
            <w:rFonts w:asciiTheme="majorHAnsi" w:hAnsiTheme="majorHAnsi"/>
            <w:sz w:val="28"/>
            <w:szCs w:val="28"/>
          </w:rPr>
          <w:t xml:space="preserve"> ~</w:t>
        </w:r>
      </w:p>
    </w:sdtContent>
  </w:sdt>
  <w:p w:rsidR="003F03FF" w:rsidRDefault="003F03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C9" w:rsidRDefault="00BE06C9" w:rsidP="003F03FF">
      <w:pPr>
        <w:spacing w:after="0" w:line="240" w:lineRule="auto"/>
      </w:pPr>
      <w:r>
        <w:separator/>
      </w:r>
    </w:p>
  </w:footnote>
  <w:footnote w:type="continuationSeparator" w:id="0">
    <w:p w:rsidR="00BE06C9" w:rsidRDefault="00BE06C9" w:rsidP="003F0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3F03FF"/>
    <w:rsid w:val="003B18EC"/>
    <w:rsid w:val="003F03FF"/>
    <w:rsid w:val="00477095"/>
    <w:rsid w:val="00AD31F0"/>
    <w:rsid w:val="00BE06C9"/>
    <w:rsid w:val="00C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03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03FF"/>
  </w:style>
  <w:style w:type="paragraph" w:styleId="a5">
    <w:name w:val="footer"/>
    <w:basedOn w:val="a"/>
    <w:link w:val="a6"/>
    <w:uiPriority w:val="99"/>
    <w:unhideWhenUsed/>
    <w:rsid w:val="003F03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3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5962</Words>
  <Characters>33985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2010-12-27T10:40:00Z</cp:lastPrinted>
  <dcterms:created xsi:type="dcterms:W3CDTF">2010-12-27T10:28:00Z</dcterms:created>
  <dcterms:modified xsi:type="dcterms:W3CDTF">2010-12-27T10:45:00Z</dcterms:modified>
</cp:coreProperties>
</file>