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38" w:rsidRDefault="002765F4">
      <w:pPr>
        <w:spacing w:after="0" w:line="240" w:lineRule="auto"/>
        <w:ind w:left="5387"/>
        <w:jc w:val="both"/>
      </w:pPr>
      <w:r>
        <w:fldChar w:fldCharType="begin"/>
      </w:r>
      <w:r>
        <w:instrText xml:space="preserve"> HYPERLINK "https://www.schoollife.org.ua/lyst-ministerstva-osvity-i-nauky-ukrayiny-1-11-5966-vid-01-07-2019-shhodo-metodychnyh-rekomendatsij-pro-vykladannya-navchalnyh-predmetiv-u-zakladah-zagalnoyi-serednoyi-osvity-u-2019-2020-navchalnomu-r/" \h </w:instrText>
      </w:r>
      <w:r>
        <w:fldChar w:fldCharType="separate"/>
      </w:r>
      <w:r>
        <w:rPr>
          <w:rStyle w:val="-"/>
          <w:rFonts w:ascii="Times New Roman" w:eastAsia="Times New Roman" w:hAnsi="Times New Roman" w:cs="Times New Roman"/>
          <w:sz w:val="28"/>
          <w:szCs w:val="24"/>
          <w:lang w:eastAsia="ru-RU"/>
        </w:rPr>
        <w:t>Лист</w:t>
      </w:r>
      <w:r>
        <w:rPr>
          <w:rStyle w:val="-"/>
          <w:rFonts w:ascii="Times New Roman" w:eastAsia="Times New Roman" w:hAnsi="Times New Roman" w:cs="Times New Roman"/>
          <w:sz w:val="28"/>
          <w:szCs w:val="24"/>
          <w:lang w:eastAsia="ru-RU"/>
        </w:rPr>
        <w:t xml:space="preserve"> № 1/11-5966 від 01.07.2019</w:t>
      </w:r>
      <w:r>
        <w:rPr>
          <w:rStyle w:val="-"/>
          <w:rFonts w:ascii="Times New Roman" w:eastAsia="Times New Roman" w:hAnsi="Times New Roman" w:cs="Times New Roman"/>
          <w:sz w:val="28"/>
          <w:szCs w:val="24"/>
          <w:lang w:eastAsia="ru-RU"/>
        </w:rPr>
        <w:fldChar w:fldCharType="end"/>
      </w: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4B6E38">
      <w:pPr>
        <w:spacing w:after="0" w:line="240" w:lineRule="auto"/>
        <w:ind w:left="5387"/>
        <w:jc w:val="both"/>
        <w:rPr>
          <w:rFonts w:ascii="Times New Roman" w:eastAsia="Times New Roman" w:hAnsi="Times New Roman" w:cs="Times New Roman"/>
          <w:sz w:val="28"/>
          <w:szCs w:val="24"/>
          <w:lang w:eastAsia="ru-RU"/>
        </w:rPr>
      </w:pPr>
    </w:p>
    <w:p w:rsidR="004B6E38" w:rsidRDefault="002765F4">
      <w:pPr>
        <w:spacing w:after="0" w:line="240" w:lineRule="auto"/>
        <w:ind w:left="538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Управління  (департаменти) освіти і науки обласних, Київської міської</w:t>
      </w:r>
    </w:p>
    <w:p w:rsidR="004B6E38" w:rsidRDefault="002765F4">
      <w:pPr>
        <w:spacing w:after="0" w:line="240" w:lineRule="auto"/>
        <w:ind w:left="538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державних адміністрацій</w:t>
      </w:r>
    </w:p>
    <w:p w:rsidR="004B6E38" w:rsidRDefault="002765F4">
      <w:pPr>
        <w:spacing w:after="0" w:line="240" w:lineRule="auto"/>
        <w:ind w:left="538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Інститути післядипломної педагогічної освіти</w:t>
      </w:r>
    </w:p>
    <w:p w:rsidR="004B6E38" w:rsidRDefault="004B6E38">
      <w:pPr>
        <w:spacing w:after="0" w:line="240" w:lineRule="auto"/>
        <w:ind w:left="5387"/>
        <w:rPr>
          <w:rFonts w:ascii="Times New Roman" w:eastAsia="Times New Roman" w:hAnsi="Times New Roman" w:cs="Times New Roman"/>
          <w:sz w:val="28"/>
          <w:szCs w:val="24"/>
          <w:lang w:eastAsia="ru-RU"/>
        </w:rPr>
      </w:pPr>
    </w:p>
    <w:p w:rsidR="004B6E38" w:rsidRDefault="004B6E38">
      <w:pPr>
        <w:spacing w:after="0" w:line="240" w:lineRule="auto"/>
        <w:rPr>
          <w:rFonts w:ascii="Times New Roman" w:eastAsia="Times New Roman" w:hAnsi="Times New Roman" w:cs="Times New Roman"/>
          <w:sz w:val="28"/>
          <w:szCs w:val="28"/>
          <w:lang w:eastAsia="ru-RU"/>
        </w:rPr>
      </w:pPr>
    </w:p>
    <w:p w:rsidR="004B6E38" w:rsidRDefault="002765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Щодо методичних рекомендацій</w:t>
      </w:r>
    </w:p>
    <w:p w:rsidR="004B6E38" w:rsidRDefault="002765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викладання навчальних предметів</w:t>
      </w:r>
    </w:p>
    <w:p w:rsidR="004B6E38" w:rsidRDefault="002765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закладах за</w:t>
      </w:r>
      <w:r>
        <w:rPr>
          <w:rFonts w:ascii="Times New Roman" w:eastAsia="Times New Roman" w:hAnsi="Times New Roman" w:cs="Times New Roman"/>
          <w:sz w:val="28"/>
          <w:szCs w:val="28"/>
          <w:lang w:eastAsia="ru-RU"/>
        </w:rPr>
        <w:t>гальної середньої освіти</w:t>
      </w:r>
    </w:p>
    <w:p w:rsidR="004B6E38" w:rsidRDefault="002765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w:t>
      </w:r>
    </w:p>
    <w:p w:rsidR="004B6E38" w:rsidRDefault="004B6E38">
      <w:pPr>
        <w:spacing w:after="0" w:line="240" w:lineRule="auto"/>
        <w:rPr>
          <w:rFonts w:ascii="Times New Roman" w:eastAsia="Times New Roman" w:hAnsi="Times New Roman" w:cs="Times New Roman"/>
          <w:sz w:val="28"/>
          <w:szCs w:val="28"/>
          <w:lang w:eastAsia="ru-RU"/>
        </w:rPr>
      </w:pPr>
    </w:p>
    <w:p w:rsidR="004B6E38" w:rsidRDefault="004B6E38">
      <w:pPr>
        <w:spacing w:after="0" w:line="240" w:lineRule="auto"/>
        <w:ind w:firstLine="720"/>
        <w:jc w:val="both"/>
        <w:rPr>
          <w:rFonts w:ascii="Times New Roman" w:eastAsia="Times New Roman" w:hAnsi="Times New Roman" w:cs="Times New Roman"/>
          <w:sz w:val="28"/>
          <w:szCs w:val="24"/>
          <w:lang w:eastAsia="ru-RU"/>
        </w:rPr>
      </w:pPr>
    </w:p>
    <w:p w:rsidR="004B6E38" w:rsidRDefault="002765F4">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w:t>
      </w:r>
      <w:r>
        <w:rPr>
          <w:rFonts w:ascii="Times New Roman" w:eastAsia="Times New Roman" w:hAnsi="Times New Roman" w:cs="Times New Roman"/>
          <w:sz w:val="28"/>
          <w:szCs w:val="24"/>
          <w:lang w:eastAsia="ru-RU"/>
        </w:rPr>
        <w:t>овлені спільно з Національною академією педагогічних наук України та Інститутом модернізації змісту освіти.</w:t>
      </w:r>
    </w:p>
    <w:p w:rsidR="004B6E38" w:rsidRDefault="002765F4">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4B6E38" w:rsidRDefault="004B6E38">
      <w:pPr>
        <w:spacing w:after="0" w:line="240" w:lineRule="auto"/>
        <w:ind w:firstLine="720"/>
        <w:jc w:val="both"/>
        <w:rPr>
          <w:rFonts w:ascii="Times New Roman" w:eastAsia="Times New Roman" w:hAnsi="Times New Roman" w:cs="Times New Roman"/>
          <w:sz w:val="28"/>
          <w:szCs w:val="24"/>
          <w:lang w:eastAsia="ru-RU"/>
        </w:rPr>
      </w:pPr>
    </w:p>
    <w:p w:rsidR="004B6E38" w:rsidRDefault="004B6E38">
      <w:pPr>
        <w:spacing w:after="0" w:line="240" w:lineRule="auto"/>
        <w:ind w:firstLine="720"/>
        <w:jc w:val="both"/>
        <w:rPr>
          <w:rFonts w:ascii="Times New Roman" w:eastAsia="Times New Roman" w:hAnsi="Times New Roman" w:cs="Times New Roman"/>
          <w:sz w:val="28"/>
          <w:szCs w:val="24"/>
          <w:lang w:eastAsia="ru-RU"/>
        </w:rPr>
      </w:pPr>
    </w:p>
    <w:p w:rsidR="004B6E38" w:rsidRDefault="004B6E38">
      <w:pPr>
        <w:spacing w:after="0" w:line="240" w:lineRule="auto"/>
        <w:ind w:firstLine="720"/>
        <w:jc w:val="both"/>
        <w:rPr>
          <w:rFonts w:ascii="Times New Roman" w:eastAsia="Times New Roman" w:hAnsi="Times New Roman" w:cs="Times New Roman"/>
          <w:sz w:val="28"/>
          <w:szCs w:val="24"/>
          <w:lang w:eastAsia="ru-RU"/>
        </w:rPr>
      </w:pPr>
    </w:p>
    <w:p w:rsidR="004B6E38" w:rsidRDefault="004B6E38">
      <w:pPr>
        <w:spacing w:after="0" w:line="240" w:lineRule="auto"/>
        <w:ind w:firstLine="720"/>
        <w:jc w:val="both"/>
        <w:rPr>
          <w:rFonts w:ascii="Times New Roman" w:eastAsia="Times New Roman" w:hAnsi="Times New Roman" w:cs="Times New Roman"/>
          <w:sz w:val="28"/>
          <w:szCs w:val="24"/>
          <w:lang w:eastAsia="ru-RU"/>
        </w:rPr>
      </w:pPr>
    </w:p>
    <w:p w:rsidR="004B6E38" w:rsidRDefault="002765F4">
      <w:pPr>
        <w:spacing w:after="0" w:line="240" w:lineRule="auto"/>
        <w:jc w:val="both"/>
      </w:pPr>
      <w:r>
        <w:rPr>
          <w:rFonts w:ascii="Times New Roman" w:eastAsia="Times New Roman" w:hAnsi="Times New Roman" w:cs="Times New Roman"/>
          <w:sz w:val="28"/>
          <w:szCs w:val="24"/>
          <w:lang w:eastAsia="ru-RU"/>
        </w:rPr>
        <w:t xml:space="preserve">Заступник Міністра                                     </w:t>
      </w:r>
      <w:r>
        <w:rPr>
          <w:rFonts w:ascii="Times New Roman" w:eastAsia="Times New Roman" w:hAnsi="Times New Roman" w:cs="Times New Roman"/>
          <w:sz w:val="28"/>
          <w:szCs w:val="24"/>
          <w:lang w:eastAsia="ru-RU"/>
        </w:rPr>
        <w:t xml:space="preserve">                                    В. А. </w:t>
      </w:r>
      <w:proofErr w:type="spellStart"/>
      <w:r>
        <w:rPr>
          <w:rFonts w:ascii="Times New Roman" w:eastAsia="Times New Roman" w:hAnsi="Times New Roman" w:cs="Times New Roman"/>
          <w:sz w:val="28"/>
          <w:szCs w:val="24"/>
          <w:lang w:eastAsia="ru-RU"/>
        </w:rPr>
        <w:t>Карандій</w:t>
      </w:r>
      <w:proofErr w:type="spellEnd"/>
    </w:p>
    <w:p w:rsidR="004B6E38" w:rsidRDefault="002765F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(підпис наявний в оригіналі)</w:t>
      </w:r>
    </w:p>
    <w:p w:rsidR="004B6E38" w:rsidRDefault="004B6E38">
      <w:pPr>
        <w:spacing w:after="0" w:line="240" w:lineRule="auto"/>
        <w:jc w:val="both"/>
        <w:rPr>
          <w:rFonts w:ascii="Times New Roman" w:eastAsia="Times New Roman" w:hAnsi="Times New Roman" w:cs="Times New Roman"/>
          <w:sz w:val="28"/>
          <w:szCs w:val="24"/>
          <w:lang w:eastAsia="ru-RU"/>
        </w:rPr>
      </w:pPr>
    </w:p>
    <w:p w:rsidR="004B6E38" w:rsidRDefault="004B6E38">
      <w:pPr>
        <w:spacing w:after="0" w:line="240" w:lineRule="auto"/>
        <w:jc w:val="both"/>
        <w:rPr>
          <w:rFonts w:ascii="Times New Roman" w:eastAsia="Times New Roman" w:hAnsi="Times New Roman" w:cs="Times New Roman"/>
          <w:sz w:val="28"/>
          <w:szCs w:val="24"/>
          <w:lang w:eastAsia="ru-RU"/>
        </w:rPr>
      </w:pPr>
    </w:p>
    <w:p w:rsidR="004B6E38" w:rsidRDefault="004B6E38">
      <w:pPr>
        <w:spacing w:after="0" w:line="240" w:lineRule="auto"/>
        <w:jc w:val="both"/>
        <w:rPr>
          <w:rFonts w:ascii="Times New Roman" w:eastAsia="Times New Roman" w:hAnsi="Times New Roman" w:cs="Times New Roman"/>
          <w:sz w:val="28"/>
          <w:szCs w:val="24"/>
          <w:lang w:eastAsia="ru-RU"/>
        </w:rPr>
      </w:pPr>
    </w:p>
    <w:p w:rsidR="004B6E38" w:rsidRDefault="004B6E38">
      <w:pPr>
        <w:spacing w:after="0" w:line="240" w:lineRule="auto"/>
        <w:jc w:val="both"/>
        <w:rPr>
          <w:rFonts w:ascii="Times New Roman" w:eastAsia="Times New Roman" w:hAnsi="Times New Roman" w:cs="Times New Roman"/>
          <w:sz w:val="28"/>
          <w:szCs w:val="24"/>
          <w:lang w:eastAsia="ru-RU"/>
        </w:rPr>
      </w:pPr>
    </w:p>
    <w:p w:rsidR="004B6E38" w:rsidRDefault="002765F4">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Бєскова</w:t>
      </w:r>
      <w:proofErr w:type="spellEnd"/>
      <w:r>
        <w:rPr>
          <w:rFonts w:ascii="Times New Roman" w:eastAsia="Times New Roman" w:hAnsi="Times New Roman" w:cs="Times New Roman"/>
          <w:lang w:eastAsia="ru-RU"/>
        </w:rPr>
        <w:t>, 481-32-01</w:t>
      </w:r>
    </w:p>
    <w:p w:rsidR="004B6E38" w:rsidRDefault="002765F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Дубовик О.А.</w:t>
      </w:r>
    </w:p>
    <w:p w:rsidR="004B6E38" w:rsidRDefault="002765F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Коваленко О.Я.</w:t>
      </w:r>
    </w:p>
    <w:p w:rsidR="004B6E38" w:rsidRDefault="004B6E38">
      <w:pPr>
        <w:spacing w:after="0" w:line="240" w:lineRule="auto"/>
        <w:jc w:val="both"/>
        <w:rPr>
          <w:rFonts w:ascii="Times New Roman" w:eastAsia="Times New Roman" w:hAnsi="Times New Roman" w:cs="Times New Roman"/>
          <w:lang w:eastAsia="ru-RU"/>
        </w:rPr>
      </w:pPr>
    </w:p>
    <w:p w:rsidR="004B6E38" w:rsidRDefault="004B6E38">
      <w:pPr>
        <w:spacing w:after="0" w:line="240" w:lineRule="auto"/>
        <w:jc w:val="both"/>
        <w:rPr>
          <w:rFonts w:ascii="Times New Roman" w:eastAsia="Times New Roman" w:hAnsi="Times New Roman" w:cs="Times New Roman"/>
          <w:lang w:eastAsia="ru-RU"/>
        </w:rPr>
      </w:pPr>
    </w:p>
    <w:p w:rsidR="004B6E38" w:rsidRDefault="004B6E38">
      <w:pPr>
        <w:spacing w:after="0" w:line="240" w:lineRule="auto"/>
        <w:jc w:val="both"/>
        <w:rPr>
          <w:rFonts w:ascii="Times New Roman" w:eastAsia="Times New Roman" w:hAnsi="Times New Roman" w:cs="Times New Roman"/>
          <w:lang w:eastAsia="ru-RU"/>
        </w:rPr>
      </w:pPr>
    </w:p>
    <w:p w:rsidR="004B6E38" w:rsidRDefault="004B6E38">
      <w:pPr>
        <w:spacing w:after="0" w:line="240" w:lineRule="auto"/>
        <w:jc w:val="both"/>
        <w:rPr>
          <w:rFonts w:ascii="Times New Roman" w:eastAsia="Times New Roman" w:hAnsi="Times New Roman" w:cs="Times New Roman"/>
          <w:lang w:eastAsia="ru-RU"/>
        </w:rPr>
      </w:pPr>
    </w:p>
    <w:p w:rsidR="004B6E38" w:rsidRDefault="004B6E38">
      <w:pPr>
        <w:spacing w:after="0" w:line="240" w:lineRule="auto"/>
        <w:jc w:val="both"/>
        <w:rPr>
          <w:rFonts w:ascii="Times New Roman" w:eastAsia="Times New Roman" w:hAnsi="Times New Roman" w:cs="Times New Roman"/>
          <w:lang w:eastAsia="ru-RU"/>
        </w:rPr>
      </w:pPr>
    </w:p>
    <w:p w:rsidR="004B6E38" w:rsidRDefault="004B6E38">
      <w:pPr>
        <w:spacing w:after="0" w:line="240" w:lineRule="auto"/>
        <w:jc w:val="both"/>
        <w:rPr>
          <w:rFonts w:ascii="Times New Roman" w:eastAsia="Times New Roman" w:hAnsi="Times New Roman" w:cs="Times New Roman"/>
          <w:lang w:eastAsia="ru-RU"/>
        </w:rPr>
      </w:pPr>
    </w:p>
    <w:p w:rsidR="004B6E38" w:rsidRDefault="002765F4">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Вступ</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Реформування загальної середньої освіти передбачає модернізацію змісту освіти, що має ґрунтуватися на </w:t>
      </w:r>
      <w:proofErr w:type="spellStart"/>
      <w:r>
        <w:rPr>
          <w:rFonts w:ascii="Times New Roman" w:eastAsia="Times New Roman" w:hAnsi="Times New Roman" w:cs="Times New Roman"/>
          <w:sz w:val="28"/>
          <w:szCs w:val="28"/>
          <w:lang w:eastAsia="uk-UA"/>
        </w:rPr>
        <w:t>компетентнісному</w:t>
      </w:r>
      <w:proofErr w:type="spellEnd"/>
      <w:r>
        <w:rPr>
          <w:rFonts w:ascii="Times New Roman" w:eastAsia="Times New Roman" w:hAnsi="Times New Roman" w:cs="Times New Roman"/>
          <w:sz w:val="28"/>
          <w:szCs w:val="28"/>
          <w:lang w:eastAsia="uk-UA"/>
        </w:rPr>
        <w:t xml:space="preserve">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r>
        <w:rPr>
          <w:rFonts w:ascii="Times New Roman" w:eastAsia="Times New Roman" w:hAnsi="Times New Roman" w:cs="Times New Roman"/>
          <w:sz w:val="28"/>
          <w:szCs w:val="28"/>
          <w:lang w:eastAsia="uk-UA"/>
        </w:rPr>
        <w:t>.</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w:t>
      </w:r>
      <w:r>
        <w:rPr>
          <w:rFonts w:ascii="Times New Roman" w:eastAsia="Times New Roman" w:hAnsi="Times New Roman" w:cs="Times New Roman"/>
          <w:sz w:val="28"/>
          <w:szCs w:val="28"/>
          <w:lang w:eastAsia="uk-UA"/>
        </w:rPr>
        <w:t>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Досягнення цієї мети забезпечується шляхом формування ключових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необхідних кожній сучас</w:t>
      </w:r>
      <w:r>
        <w:rPr>
          <w:rFonts w:ascii="Times New Roman" w:eastAsia="Times New Roman" w:hAnsi="Times New Roman" w:cs="Times New Roman"/>
          <w:sz w:val="28"/>
          <w:szCs w:val="28"/>
          <w:lang w:eastAsia="uk-UA"/>
        </w:rPr>
        <w:t>ній людині:</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вільне володіння державною мовою;</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здатність спілкуватися рідною (у разі відмінності від державної) та    іноземними мовами;</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математична компетентність;</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компетентності у галузі природничих наук, техніки і технологій;</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інноваційність</w:t>
      </w:r>
      <w:proofErr w:type="spellEnd"/>
      <w:r>
        <w:rPr>
          <w:rFonts w:ascii="Times New Roman" w:eastAsia="Times New Roman" w:hAnsi="Times New Roman" w:cs="Times New Roman"/>
          <w:sz w:val="28"/>
          <w:szCs w:val="28"/>
          <w:lang w:eastAsia="uk-UA"/>
        </w:rPr>
        <w:t>;</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екологічна</w:t>
      </w:r>
      <w:r>
        <w:rPr>
          <w:rFonts w:ascii="Times New Roman" w:eastAsia="Times New Roman" w:hAnsi="Times New Roman" w:cs="Times New Roman"/>
          <w:sz w:val="28"/>
          <w:szCs w:val="28"/>
          <w:lang w:eastAsia="uk-UA"/>
        </w:rPr>
        <w:t xml:space="preserve"> компетентність;</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інформаційно-комунікаційна компетентність;</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навчання впродовж життя;</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w:t>
      </w:r>
      <w:r>
        <w:rPr>
          <w:rFonts w:ascii="Times New Roman" w:eastAsia="Times New Roman" w:hAnsi="Times New Roman" w:cs="Times New Roman"/>
          <w:sz w:val="28"/>
          <w:szCs w:val="28"/>
          <w:lang w:eastAsia="uk-UA"/>
        </w:rPr>
        <w:t>х прав і можливостей;</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культурна компетентність;</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підприємливість та фінансова грамотність;</w:t>
      </w:r>
    </w:p>
    <w:p w:rsidR="004B6E38" w:rsidRDefault="002765F4">
      <w:pPr>
        <w:numPr>
          <w:ilvl w:val="0"/>
          <w:numId w:val="1"/>
        </w:numPr>
        <w:tabs>
          <w:tab w:val="clear" w:pos="720"/>
          <w:tab w:val="left" w:pos="993"/>
        </w:tabs>
        <w:spacing w:after="0" w:line="240" w:lineRule="auto"/>
        <w:ind w:left="993" w:hanging="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інші компетентності, передбачені стандартом освіти.</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Окрім того, усі компетентності однаково важливі і взаємопов’язані: елементи, притаманні одній компетентності вплив</w:t>
      </w:r>
      <w:r>
        <w:rPr>
          <w:rFonts w:ascii="Times New Roman" w:eastAsia="Times New Roman" w:hAnsi="Times New Roman" w:cs="Times New Roman"/>
          <w:sz w:val="28"/>
          <w:szCs w:val="28"/>
          <w:lang w:eastAsia="uk-UA"/>
        </w:rPr>
        <w:t>атимуть на формування інших.</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Звертаємо особливу увагу, що  у змісті всіх навчальних програм послідовно впроваджено </w:t>
      </w:r>
      <w:proofErr w:type="spellStart"/>
      <w:r>
        <w:rPr>
          <w:rFonts w:ascii="Times New Roman" w:eastAsia="Times New Roman" w:hAnsi="Times New Roman" w:cs="Times New Roman"/>
          <w:sz w:val="28"/>
          <w:szCs w:val="28"/>
          <w:lang w:eastAsia="uk-UA"/>
        </w:rPr>
        <w:t>компетентнісний</w:t>
      </w:r>
      <w:proofErr w:type="spellEnd"/>
      <w:r>
        <w:rPr>
          <w:rFonts w:ascii="Times New Roman" w:eastAsia="Times New Roman" w:hAnsi="Times New Roman" w:cs="Times New Roman"/>
          <w:sz w:val="28"/>
          <w:szCs w:val="28"/>
          <w:lang w:eastAsia="uk-UA"/>
        </w:rPr>
        <w:t xml:space="preserve"> підхід, який відповідає стратегічному напрямку розвитку освіти в контексті положень Концепції  «Нова українська школа» та пок</w:t>
      </w:r>
      <w:r>
        <w:rPr>
          <w:rFonts w:ascii="Times New Roman" w:eastAsia="Times New Roman" w:hAnsi="Times New Roman" w:cs="Times New Roman"/>
          <w:sz w:val="28"/>
          <w:szCs w:val="28"/>
          <w:lang w:eastAsia="uk-UA"/>
        </w:rPr>
        <w:t>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w:t>
      </w:r>
      <w:r>
        <w:rPr>
          <w:rFonts w:ascii="Times New Roman" w:eastAsia="Times New Roman" w:hAnsi="Times New Roman" w:cs="Times New Roman"/>
          <w:sz w:val="28"/>
          <w:szCs w:val="28"/>
          <w:lang w:eastAsia="uk-UA"/>
        </w:rPr>
        <w:t>і ідеї, що послідовно розкриваються у процесі навчання й виховання.</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Наскрізна лінія «</w:t>
      </w:r>
      <w:r>
        <w:rPr>
          <w:rFonts w:ascii="Times New Roman" w:eastAsia="Times New Roman" w:hAnsi="Times New Roman" w:cs="Times New Roman"/>
          <w:sz w:val="28"/>
          <w:szCs w:val="28"/>
          <w:u w:val="single"/>
          <w:lang w:eastAsia="uk-UA"/>
        </w:rPr>
        <w:t>Екологічна безпека і сталий розвиток</w:t>
      </w:r>
      <w:r>
        <w:rPr>
          <w:rFonts w:ascii="Times New Roman" w:eastAsia="Times New Roman" w:hAnsi="Times New Roman" w:cs="Times New Roman"/>
          <w:sz w:val="28"/>
          <w:szCs w:val="28"/>
          <w:lang w:eastAsia="uk-UA"/>
        </w:rPr>
        <w:t>» підсилює формування в учнів соціальної активності, відповідальності й екологічної свідомості: збереження, захист довкілля й усвідомле</w:t>
      </w:r>
      <w:r>
        <w:rPr>
          <w:rFonts w:ascii="Times New Roman" w:eastAsia="Times New Roman" w:hAnsi="Times New Roman" w:cs="Times New Roman"/>
          <w:sz w:val="28"/>
          <w:szCs w:val="28"/>
          <w:lang w:eastAsia="uk-UA"/>
        </w:rPr>
        <w:t>ння сталого його розвитку, готовність брати участь у вирішенні питань навколишнього середовища і розвитку суспільства.</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Наскрізна лінія </w:t>
      </w:r>
      <w:r>
        <w:rPr>
          <w:rFonts w:ascii="Times New Roman" w:eastAsia="Times New Roman" w:hAnsi="Times New Roman" w:cs="Times New Roman"/>
          <w:sz w:val="28"/>
          <w:szCs w:val="28"/>
          <w:u w:val="single"/>
          <w:lang w:eastAsia="uk-UA"/>
        </w:rPr>
        <w:t>«Громадянська відповідальність»</w:t>
      </w:r>
      <w:r>
        <w:rPr>
          <w:rFonts w:ascii="Times New Roman" w:eastAsia="Times New Roman" w:hAnsi="Times New Roman" w:cs="Times New Roman"/>
          <w:sz w:val="28"/>
          <w:szCs w:val="28"/>
          <w:lang w:eastAsia="uk-UA"/>
        </w:rPr>
        <w:t xml:space="preserve"> забезпечує розвиток соціальної й громадянської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розкриває суть поняття «в</w:t>
      </w:r>
      <w:r>
        <w:rPr>
          <w:rFonts w:ascii="Times New Roman" w:eastAsia="Times New Roman" w:hAnsi="Times New Roman" w:cs="Times New Roman"/>
          <w:sz w:val="28"/>
          <w:szCs w:val="28"/>
          <w:lang w:eastAsia="uk-UA"/>
        </w:rPr>
        <w:t>ідповідальний громадянин», визначає вектори його діяльності.</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Реалізації </w:t>
      </w:r>
      <w:proofErr w:type="spellStart"/>
      <w:r>
        <w:rPr>
          <w:rFonts w:ascii="Times New Roman" w:eastAsia="Times New Roman" w:hAnsi="Times New Roman" w:cs="Times New Roman"/>
          <w:sz w:val="28"/>
          <w:szCs w:val="28"/>
          <w:lang w:eastAsia="uk-UA"/>
        </w:rPr>
        <w:t>здоров’язбережувальної</w:t>
      </w:r>
      <w:proofErr w:type="spellEnd"/>
      <w:r>
        <w:rPr>
          <w:rFonts w:ascii="Times New Roman" w:eastAsia="Times New Roman" w:hAnsi="Times New Roman" w:cs="Times New Roman"/>
          <w:sz w:val="28"/>
          <w:szCs w:val="28"/>
          <w:lang w:eastAsia="uk-UA"/>
        </w:rPr>
        <w:t xml:space="preserve"> ключової компетентності сприяє наскрізна лінія «</w:t>
      </w:r>
      <w:r>
        <w:rPr>
          <w:rFonts w:ascii="Times New Roman" w:eastAsia="Times New Roman" w:hAnsi="Times New Roman" w:cs="Times New Roman"/>
          <w:sz w:val="28"/>
          <w:szCs w:val="28"/>
          <w:u w:val="single"/>
          <w:lang w:eastAsia="uk-UA"/>
        </w:rPr>
        <w:t>Здоров’я і безпека</w:t>
      </w:r>
      <w:r>
        <w:rPr>
          <w:rFonts w:ascii="Times New Roman" w:eastAsia="Times New Roman" w:hAnsi="Times New Roman" w:cs="Times New Roman"/>
          <w:sz w:val="28"/>
          <w:szCs w:val="28"/>
          <w:lang w:eastAsia="uk-UA"/>
        </w:rPr>
        <w:t xml:space="preserve">», орієнтуючи на формування учня як духовно, </w:t>
      </w:r>
      <w:proofErr w:type="spellStart"/>
      <w:r>
        <w:rPr>
          <w:rFonts w:ascii="Times New Roman" w:eastAsia="Times New Roman" w:hAnsi="Times New Roman" w:cs="Times New Roman"/>
          <w:sz w:val="28"/>
          <w:szCs w:val="28"/>
          <w:lang w:eastAsia="uk-UA"/>
        </w:rPr>
        <w:t>емоційно</w:t>
      </w:r>
      <w:proofErr w:type="spellEnd"/>
      <w:r>
        <w:rPr>
          <w:rFonts w:ascii="Times New Roman" w:eastAsia="Times New Roman" w:hAnsi="Times New Roman" w:cs="Times New Roman"/>
          <w:sz w:val="28"/>
          <w:szCs w:val="28"/>
          <w:lang w:eastAsia="uk-UA"/>
        </w:rPr>
        <w:t>, соціально й фізично повноцінного громадя</w:t>
      </w:r>
      <w:r>
        <w:rPr>
          <w:rFonts w:ascii="Times New Roman" w:eastAsia="Times New Roman" w:hAnsi="Times New Roman" w:cs="Times New Roman"/>
          <w:sz w:val="28"/>
          <w:szCs w:val="28"/>
          <w:lang w:eastAsia="uk-UA"/>
        </w:rPr>
        <w:t>нина, що дотримується здорового способу життя, активно долучається до облаштування безпечного для життя й діяльності середовища.</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Метою наскрізної лінії «</w:t>
      </w:r>
      <w:r>
        <w:rPr>
          <w:rFonts w:ascii="Times New Roman" w:eastAsia="Times New Roman" w:hAnsi="Times New Roman" w:cs="Times New Roman"/>
          <w:sz w:val="28"/>
          <w:szCs w:val="28"/>
          <w:u w:val="single"/>
          <w:lang w:eastAsia="uk-UA"/>
        </w:rPr>
        <w:t>Підприємливість</w:t>
      </w:r>
      <w:r>
        <w:rPr>
          <w:rFonts w:ascii="Times New Roman" w:eastAsia="Times New Roman" w:hAnsi="Times New Roman" w:cs="Times New Roman"/>
          <w:sz w:val="28"/>
          <w:szCs w:val="28"/>
          <w:lang w:eastAsia="uk-UA"/>
        </w:rPr>
        <w:t xml:space="preserve"> і </w:t>
      </w:r>
      <w:r>
        <w:rPr>
          <w:rFonts w:ascii="Times New Roman" w:eastAsia="Times New Roman" w:hAnsi="Times New Roman" w:cs="Times New Roman"/>
          <w:sz w:val="28"/>
          <w:szCs w:val="28"/>
          <w:u w:val="single"/>
          <w:lang w:eastAsia="uk-UA"/>
        </w:rPr>
        <w:t>фінансова грамотність</w:t>
      </w:r>
      <w:r>
        <w:rPr>
          <w:rFonts w:ascii="Times New Roman" w:eastAsia="Times New Roman" w:hAnsi="Times New Roman" w:cs="Times New Roman"/>
          <w:sz w:val="28"/>
          <w:szCs w:val="28"/>
          <w:lang w:eastAsia="uk-UA"/>
        </w:rPr>
        <w:t>» є навчання молодого покоління українців ощадливості, раціональ</w:t>
      </w:r>
      <w:r>
        <w:rPr>
          <w:rFonts w:ascii="Times New Roman" w:eastAsia="Times New Roman" w:hAnsi="Times New Roman" w:cs="Times New Roman"/>
          <w:sz w:val="28"/>
          <w:szCs w:val="28"/>
          <w:lang w:eastAsia="uk-UA"/>
        </w:rPr>
        <w:t>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Наскрізні змістові лінії спільні для всіх начальних предметів, є засобом інтегрування навчального змісту, во</w:t>
      </w:r>
      <w:r>
        <w:rPr>
          <w:rFonts w:ascii="Times New Roman" w:eastAsia="Times New Roman" w:hAnsi="Times New Roman" w:cs="Times New Roman"/>
          <w:sz w:val="28"/>
          <w:szCs w:val="28"/>
          <w:lang w:eastAsia="uk-UA"/>
        </w:rPr>
        <w:t xml:space="preserve">ни корелюються з окремими ключовими </w:t>
      </w:r>
      <w:proofErr w:type="spellStart"/>
      <w:r>
        <w:rPr>
          <w:rFonts w:ascii="Times New Roman" w:eastAsia="Times New Roman" w:hAnsi="Times New Roman" w:cs="Times New Roman"/>
          <w:sz w:val="28"/>
          <w:szCs w:val="28"/>
          <w:lang w:eastAsia="uk-UA"/>
        </w:rPr>
        <w:t>компетентностями</w:t>
      </w:r>
      <w:proofErr w:type="spellEnd"/>
      <w:r>
        <w:rPr>
          <w:rFonts w:ascii="Times New Roman" w:eastAsia="Times New Roman" w:hAnsi="Times New Roman" w:cs="Times New Roman"/>
          <w:sz w:val="28"/>
          <w:szCs w:val="28"/>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w:t>
      </w:r>
      <w:r>
        <w:rPr>
          <w:rFonts w:ascii="Times New Roman" w:eastAsia="Times New Roman" w:hAnsi="Times New Roman" w:cs="Times New Roman"/>
          <w:sz w:val="28"/>
          <w:szCs w:val="28"/>
          <w:lang w:eastAsia="uk-UA"/>
        </w:rPr>
        <w:t>вдань реального змісту, виконання міжпредметних навчальних проектів, роботу з різними джерелами інформації.</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Спільними для всіх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є такі вміння: читання з розумінням, уміння висловлювати власну думку усно і письмово, критичне та системне мисле</w:t>
      </w:r>
      <w:r>
        <w:rPr>
          <w:rFonts w:ascii="Times New Roman" w:eastAsia="Times New Roman" w:hAnsi="Times New Roman" w:cs="Times New Roman"/>
          <w:sz w:val="28"/>
          <w:szCs w:val="28"/>
          <w:lang w:eastAsia="uk-UA"/>
        </w:rPr>
        <w:t xml:space="preserve">ння, здатність </w:t>
      </w:r>
      <w:proofErr w:type="spellStart"/>
      <w:r>
        <w:rPr>
          <w:rFonts w:ascii="Times New Roman" w:eastAsia="Times New Roman" w:hAnsi="Times New Roman" w:cs="Times New Roman"/>
          <w:sz w:val="28"/>
          <w:szCs w:val="28"/>
          <w:lang w:eastAsia="uk-UA"/>
        </w:rPr>
        <w:t>логічно</w:t>
      </w:r>
      <w:proofErr w:type="spellEnd"/>
      <w:r>
        <w:rPr>
          <w:rFonts w:ascii="Times New Roman" w:eastAsia="Times New Roman" w:hAnsi="Times New Roman" w:cs="Times New Roman"/>
          <w:sz w:val="28"/>
          <w:szCs w:val="28"/>
          <w:lang w:eastAsia="uk-UA"/>
        </w:rPr>
        <w:t xml:space="preserve"> обґрунтовувати позицію, творчість, ініціативність, вміння </w:t>
      </w:r>
      <w:proofErr w:type="spellStart"/>
      <w:r>
        <w:rPr>
          <w:rFonts w:ascii="Times New Roman" w:eastAsia="Times New Roman" w:hAnsi="Times New Roman" w:cs="Times New Roman"/>
          <w:sz w:val="28"/>
          <w:szCs w:val="28"/>
          <w:lang w:eastAsia="uk-UA"/>
        </w:rPr>
        <w:t>конструктивно</w:t>
      </w:r>
      <w:proofErr w:type="spellEnd"/>
      <w:r>
        <w:rPr>
          <w:rFonts w:ascii="Times New Roman" w:eastAsia="Times New Roman" w:hAnsi="Times New Roman" w:cs="Times New Roman"/>
          <w:sz w:val="28"/>
          <w:szCs w:val="28"/>
          <w:lang w:eastAsia="uk-UA"/>
        </w:rPr>
        <w:t xml:space="preserve"> керувати емоціями, оцінювати ризики, приймати рішення, розв’язувати проблеми, здатність співпрацювати з іншими людьми.</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навчання потрібно базувати на положе</w:t>
      </w:r>
      <w:r>
        <w:rPr>
          <w:rFonts w:ascii="Times New Roman" w:eastAsia="Times New Roman" w:hAnsi="Times New Roman" w:cs="Times New Roman"/>
          <w:sz w:val="28"/>
          <w:szCs w:val="28"/>
          <w:lang w:eastAsia="uk-UA"/>
        </w:rPr>
        <w:t xml:space="preserve">ннях дидактики, психології, методики, підборі оригінальних завдань і видів діяльності, моделюванні творчої діяльності учнів, урахуванні розвитку </w:t>
      </w:r>
      <w:proofErr w:type="spellStart"/>
      <w:r>
        <w:rPr>
          <w:rFonts w:ascii="Times New Roman" w:eastAsia="Times New Roman" w:hAnsi="Times New Roman" w:cs="Times New Roman"/>
          <w:sz w:val="28"/>
          <w:szCs w:val="28"/>
          <w:lang w:eastAsia="uk-UA"/>
        </w:rPr>
        <w:t>мовних</w:t>
      </w:r>
      <w:proofErr w:type="spellEnd"/>
      <w:r>
        <w:rPr>
          <w:rFonts w:ascii="Times New Roman" w:eastAsia="Times New Roman" w:hAnsi="Times New Roman" w:cs="Times New Roman"/>
          <w:sz w:val="28"/>
          <w:szCs w:val="28"/>
          <w:lang w:eastAsia="uk-UA"/>
        </w:rPr>
        <w:t xml:space="preserve">, соціальних, громадянських, </w:t>
      </w:r>
      <w:proofErr w:type="spellStart"/>
      <w:r>
        <w:rPr>
          <w:rFonts w:ascii="Times New Roman" w:eastAsia="Times New Roman" w:hAnsi="Times New Roman" w:cs="Times New Roman"/>
          <w:sz w:val="28"/>
          <w:szCs w:val="28"/>
          <w:lang w:eastAsia="uk-UA"/>
        </w:rPr>
        <w:t>здоров’язбережувальних</w:t>
      </w:r>
      <w:proofErr w:type="spellEnd"/>
      <w:r>
        <w:rPr>
          <w:rFonts w:ascii="Times New Roman" w:eastAsia="Times New Roman" w:hAnsi="Times New Roman" w:cs="Times New Roman"/>
          <w:sz w:val="28"/>
          <w:szCs w:val="28"/>
          <w:lang w:eastAsia="uk-UA"/>
        </w:rPr>
        <w:t xml:space="preserve"> та інших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визначених навчальними прог</w:t>
      </w:r>
      <w:r>
        <w:rPr>
          <w:rFonts w:ascii="Times New Roman" w:eastAsia="Times New Roman" w:hAnsi="Times New Roman" w:cs="Times New Roman"/>
          <w:sz w:val="28"/>
          <w:szCs w:val="28"/>
          <w:lang w:eastAsia="uk-UA"/>
        </w:rPr>
        <w:t>рамами.</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w:t>
      </w:r>
      <w:r>
        <w:rPr>
          <w:rFonts w:ascii="Times New Roman" w:eastAsia="Times New Roman" w:hAnsi="Times New Roman" w:cs="Times New Roman"/>
          <w:sz w:val="28"/>
          <w:szCs w:val="28"/>
          <w:lang w:eastAsia="uk-UA"/>
        </w:rPr>
        <w:t>ня – пошук ефективних механізмів проходження всіх етапів навчання.</w:t>
      </w:r>
    </w:p>
    <w:p w:rsidR="004B6E38" w:rsidRDefault="002765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w:t>
      </w:r>
      <w:r>
        <w:rPr>
          <w:rFonts w:ascii="Times New Roman" w:eastAsia="Times New Roman" w:hAnsi="Times New Roman" w:cs="Times New Roman"/>
          <w:sz w:val="28"/>
          <w:szCs w:val="28"/>
          <w:lang w:eastAsia="uk-UA"/>
        </w:rPr>
        <w:t>реалізації кожної особистості як громадянина України.</w:t>
      </w:r>
    </w:p>
    <w:p w:rsidR="004B6E38" w:rsidRDefault="004B6E38">
      <w:pPr>
        <w:spacing w:after="0" w:line="240" w:lineRule="auto"/>
        <w:ind w:firstLine="709"/>
        <w:jc w:val="center"/>
        <w:rPr>
          <w:rFonts w:ascii="Times New Roman" w:eastAsia="Calibri" w:hAnsi="Times New Roman" w:cs="Times New Roman"/>
          <w:b/>
          <w:sz w:val="28"/>
          <w:szCs w:val="28"/>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4B6E38">
      <w:pPr>
        <w:spacing w:after="0" w:line="240" w:lineRule="auto"/>
        <w:ind w:firstLine="709"/>
        <w:jc w:val="right"/>
        <w:rPr>
          <w:rFonts w:ascii="Verdana" w:hAnsi="Verdana"/>
          <w:color w:val="2C2F34"/>
          <w:sz w:val="21"/>
          <w:szCs w:val="21"/>
          <w:highlight w:val="white"/>
        </w:rPr>
      </w:pPr>
    </w:p>
    <w:p w:rsidR="004B6E38" w:rsidRDefault="002765F4">
      <w:pPr>
        <w:spacing w:after="0" w:line="240" w:lineRule="auto"/>
        <w:contextualSpacing/>
        <w:jc w:val="right"/>
      </w:pPr>
      <w:r>
        <w:rPr>
          <w:rFonts w:ascii="Verdana" w:hAnsi="Verdana"/>
          <w:color w:val="2C2F34"/>
          <w:sz w:val="21"/>
          <w:szCs w:val="21"/>
          <w:shd w:val="clear" w:color="auto" w:fill="FFFFFF"/>
        </w:rPr>
        <w:lastRenderedPageBreak/>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r>
          <w:rPr>
            <w:rStyle w:val="-"/>
            <w:rFonts w:ascii="Verdana" w:hAnsi="Verdana"/>
            <w:b/>
            <w:bCs/>
            <w:color w:val="D3170A"/>
            <w:sz w:val="21"/>
            <w:szCs w:val="21"/>
            <w:highlight w:val="white"/>
            <w:u w:val="none"/>
          </w:rPr>
          <w:t>від  01</w:t>
        </w:r>
        <w:r>
          <w:rPr>
            <w:rStyle w:val="-"/>
            <w:rFonts w:ascii="Verdana" w:hAnsi="Verdana"/>
            <w:b/>
            <w:bCs/>
            <w:color w:val="D3170A"/>
            <w:sz w:val="21"/>
            <w:szCs w:val="21"/>
            <w:highlight w:val="white"/>
            <w:u w:val="none"/>
          </w:rPr>
          <w:t>. 07. 2019 р. № 1/11-5966</w:t>
        </w:r>
      </w:hyperlink>
    </w:p>
    <w:p w:rsidR="004B6E38" w:rsidRDefault="004B6E38">
      <w:pPr>
        <w:spacing w:after="0" w:line="240" w:lineRule="auto"/>
        <w:ind w:firstLine="709"/>
        <w:jc w:val="center"/>
        <w:rPr>
          <w:rFonts w:ascii="Times New Roman" w:eastAsia="Calibri" w:hAnsi="Times New Roman" w:cs="Times New Roman"/>
          <w:b/>
          <w:sz w:val="28"/>
          <w:szCs w:val="28"/>
        </w:rPr>
      </w:pPr>
    </w:p>
    <w:p w:rsidR="004B6E38" w:rsidRPr="002765F4" w:rsidRDefault="002765F4" w:rsidP="002765F4">
      <w:pPr>
        <w:spacing w:after="0" w:line="240" w:lineRule="auto"/>
        <w:jc w:val="center"/>
        <w:rPr>
          <w:rFonts w:ascii="Times New Roman" w:hAnsi="Times New Roman" w:cs="Times New Roman"/>
          <w:b/>
          <w:sz w:val="28"/>
          <w:szCs w:val="28"/>
        </w:rPr>
      </w:pPr>
      <w:r w:rsidRPr="002765F4">
        <w:rPr>
          <w:rFonts w:ascii="Times New Roman" w:hAnsi="Times New Roman" w:cs="Times New Roman"/>
          <w:b/>
          <w:sz w:val="28"/>
          <w:szCs w:val="28"/>
        </w:rPr>
        <w:t>ОСНОВНА І СТАРША ШКОЛА</w:t>
      </w:r>
    </w:p>
    <w:p w:rsidR="004B6E38" w:rsidRPr="002765F4" w:rsidRDefault="002765F4" w:rsidP="002765F4">
      <w:pPr>
        <w:spacing w:after="0" w:line="240" w:lineRule="auto"/>
        <w:jc w:val="center"/>
        <w:rPr>
          <w:rFonts w:ascii="Times New Roman" w:hAnsi="Times New Roman" w:cs="Times New Roman"/>
          <w:b/>
          <w:sz w:val="28"/>
          <w:szCs w:val="28"/>
        </w:rPr>
      </w:pPr>
      <w:r w:rsidRPr="002765F4">
        <w:rPr>
          <w:rFonts w:ascii="Times New Roman" w:hAnsi="Times New Roman" w:cs="Times New Roman"/>
          <w:b/>
          <w:sz w:val="28"/>
          <w:szCs w:val="28"/>
        </w:rPr>
        <w:t>(ВИТЯГ)</w:t>
      </w:r>
    </w:p>
    <w:p w:rsidR="002765F4" w:rsidRPr="002765F4" w:rsidRDefault="002765F4" w:rsidP="002765F4">
      <w:pPr>
        <w:spacing w:after="0" w:line="240" w:lineRule="auto"/>
        <w:jc w:val="center"/>
        <w:rPr>
          <w:rFonts w:ascii="Times New Roman" w:hAnsi="Times New Roman" w:cs="Times New Roman"/>
          <w:b/>
          <w:sz w:val="28"/>
          <w:szCs w:val="28"/>
        </w:rPr>
      </w:pPr>
      <w:r w:rsidRPr="002765F4">
        <w:rPr>
          <w:rFonts w:ascii="Times New Roman" w:hAnsi="Times New Roman" w:cs="Times New Roman"/>
          <w:b/>
          <w:sz w:val="28"/>
          <w:szCs w:val="28"/>
        </w:rPr>
        <w:t>Художньо-естетичний цикл</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Предмети художньо-естетичного циклу в закладах загальної середньої освіти спрямовані на розвиток </w:t>
      </w:r>
      <w:proofErr w:type="spellStart"/>
      <w:r w:rsidRPr="002765F4">
        <w:rPr>
          <w:rFonts w:ascii="Times New Roman" w:hAnsi="Times New Roman" w:cs="Times New Roman"/>
          <w:sz w:val="28"/>
          <w:szCs w:val="28"/>
        </w:rPr>
        <w:t>емоційно</w:t>
      </w:r>
      <w:proofErr w:type="spellEnd"/>
      <w:r w:rsidRPr="002765F4">
        <w:rPr>
          <w:rFonts w:ascii="Times New Roman" w:hAnsi="Times New Roman" w:cs="Times New Roman"/>
          <w:sz w:val="28"/>
          <w:szCs w:val="28"/>
        </w:rPr>
        <w:t>-почуттєвої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У 2019/2020 навчальному році загальну мистецьку освіту в основній школі учні опановуватимуть відповідно до наказу </w:t>
      </w:r>
      <w:proofErr w:type="spellStart"/>
      <w:r w:rsidRPr="002765F4">
        <w:rPr>
          <w:rFonts w:ascii="Times New Roman" w:hAnsi="Times New Roman" w:cs="Times New Roman"/>
          <w:sz w:val="28"/>
          <w:szCs w:val="28"/>
        </w:rPr>
        <w:t>Мністерства</w:t>
      </w:r>
      <w:proofErr w:type="spellEnd"/>
      <w:r w:rsidRPr="002765F4">
        <w:rPr>
          <w:rFonts w:ascii="Times New Roman" w:hAnsi="Times New Roman" w:cs="Times New Roman"/>
          <w:sz w:val="28"/>
          <w:szCs w:val="28"/>
        </w:rPr>
        <w:t xml:space="preserve"> від 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 учень (учениця) має обрати два предмети, які він (вона) обов’язково опановуватиме впродовж навчання у старшій школі: один – в 10-му, інший – в 11-му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w:t>
      </w:r>
    </w:p>
    <w:tbl>
      <w:tblPr>
        <w:tblW w:w="95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3118"/>
        <w:gridCol w:w="2711"/>
      </w:tblGrid>
      <w:tr w:rsidR="002765F4" w:rsidRPr="002765F4" w:rsidTr="002765F4">
        <w:trPr>
          <w:tblCellSpacing w:w="15" w:type="dxa"/>
        </w:trPr>
        <w:tc>
          <w:tcPr>
            <w:tcW w:w="3636" w:type="dxa"/>
            <w:tcMar>
              <w:top w:w="96" w:type="dxa"/>
              <w:left w:w="96" w:type="dxa"/>
              <w:bottom w:w="96" w:type="dxa"/>
              <w:right w:w="96" w:type="dxa"/>
            </w:tcMar>
            <w:vAlign w:val="center"/>
            <w:hideMark/>
          </w:tcPr>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Навчальні предмети</w:t>
            </w:r>
          </w:p>
        </w:tc>
        <w:tc>
          <w:tcPr>
            <w:tcW w:w="3088" w:type="dxa"/>
            <w:tcMar>
              <w:top w:w="96" w:type="dxa"/>
              <w:left w:w="96" w:type="dxa"/>
              <w:bottom w:w="96" w:type="dxa"/>
              <w:right w:w="96" w:type="dxa"/>
            </w:tcMar>
            <w:vAlign w:val="center"/>
            <w:hideMark/>
          </w:tcPr>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10 клас</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(кількість годин)</w:t>
            </w:r>
          </w:p>
        </w:tc>
        <w:tc>
          <w:tcPr>
            <w:tcW w:w="2666" w:type="dxa"/>
            <w:tcMar>
              <w:top w:w="96" w:type="dxa"/>
              <w:left w:w="96" w:type="dxa"/>
              <w:bottom w:w="96" w:type="dxa"/>
              <w:right w:w="96" w:type="dxa"/>
            </w:tcMar>
            <w:vAlign w:val="center"/>
            <w:hideMark/>
          </w:tcPr>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11 клас</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(кількість годин)</w:t>
            </w:r>
          </w:p>
        </w:tc>
      </w:tr>
      <w:tr w:rsidR="002765F4" w:rsidRPr="002765F4" w:rsidTr="002765F4">
        <w:trPr>
          <w:tblCellSpacing w:w="15" w:type="dxa"/>
        </w:trPr>
        <w:tc>
          <w:tcPr>
            <w:tcW w:w="3636" w:type="dxa"/>
            <w:tcMar>
              <w:top w:w="96" w:type="dxa"/>
              <w:left w:w="96" w:type="dxa"/>
              <w:bottom w:w="96" w:type="dxa"/>
              <w:right w:w="96" w:type="dxa"/>
            </w:tcMar>
            <w:vAlign w:val="center"/>
            <w:hideMark/>
          </w:tcPr>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Вибірково-обов’язкові предмети (Інформатика, Технології, Мистецтво)</w:t>
            </w:r>
          </w:p>
        </w:tc>
        <w:tc>
          <w:tcPr>
            <w:tcW w:w="3088" w:type="dxa"/>
            <w:tcMar>
              <w:top w:w="96" w:type="dxa"/>
              <w:left w:w="96" w:type="dxa"/>
              <w:bottom w:w="96" w:type="dxa"/>
              <w:right w:w="96" w:type="dxa"/>
            </w:tcMar>
            <w:vAlign w:val="center"/>
            <w:hideMark/>
          </w:tcPr>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3</w:t>
            </w:r>
          </w:p>
        </w:tc>
        <w:tc>
          <w:tcPr>
            <w:tcW w:w="2666" w:type="dxa"/>
            <w:tcMar>
              <w:top w:w="96" w:type="dxa"/>
              <w:left w:w="96" w:type="dxa"/>
              <w:bottom w:w="96" w:type="dxa"/>
              <w:right w:w="96" w:type="dxa"/>
            </w:tcMar>
            <w:vAlign w:val="center"/>
            <w:hideMark/>
          </w:tcPr>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3</w:t>
            </w:r>
          </w:p>
        </w:tc>
        <w:bookmarkStart w:id="0" w:name="_GoBack"/>
        <w:bookmarkEnd w:id="0"/>
      </w:tr>
    </w:tbl>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Профільне навчання в старшій школі передбачає можливість вивчення профільних предметів з різних освітніх галузей. Профіль формується закладом </w:t>
      </w:r>
      <w:r w:rsidRPr="002765F4">
        <w:rPr>
          <w:rFonts w:ascii="Times New Roman" w:hAnsi="Times New Roman" w:cs="Times New Roman"/>
          <w:sz w:val="28"/>
          <w:szCs w:val="28"/>
        </w:rPr>
        <w:lastRenderedPageBreak/>
        <w:t>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профільним з відповідним годинним навантаженням: 5 годин – у 10-му класі, 5 годин – в 11-му класі.</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Акцентування освіти на реалізацію </w:t>
      </w:r>
      <w:proofErr w:type="spellStart"/>
      <w:r w:rsidRPr="002765F4">
        <w:rPr>
          <w:rFonts w:ascii="Times New Roman" w:hAnsi="Times New Roman" w:cs="Times New Roman"/>
          <w:sz w:val="28"/>
          <w:szCs w:val="28"/>
        </w:rPr>
        <w:t>компетентнісного</w:t>
      </w:r>
      <w:proofErr w:type="spellEnd"/>
      <w:r w:rsidRPr="002765F4">
        <w:rPr>
          <w:rFonts w:ascii="Times New Roman" w:hAnsi="Times New Roman" w:cs="Times New Roman"/>
          <w:sz w:val="28"/>
          <w:szCs w:val="28"/>
        </w:rPr>
        <w:t xml:space="preserve"> підходу зумовило рельєфне визначення </w:t>
      </w:r>
      <w:proofErr w:type="spellStart"/>
      <w:r w:rsidRPr="002765F4">
        <w:rPr>
          <w:rFonts w:ascii="Times New Roman" w:hAnsi="Times New Roman" w:cs="Times New Roman"/>
          <w:sz w:val="28"/>
          <w:szCs w:val="28"/>
        </w:rPr>
        <w:t>компетентностей</w:t>
      </w:r>
      <w:proofErr w:type="spellEnd"/>
      <w:r w:rsidRPr="002765F4">
        <w:rPr>
          <w:rFonts w:ascii="Times New Roman" w:hAnsi="Times New Roman" w:cs="Times New Roman"/>
          <w:sz w:val="28"/>
          <w:szCs w:val="28"/>
        </w:rPr>
        <w:t xml:space="preserve">, які формуються  засобами певного навчального предмета, зокрема мистецтва. У програмах «Мистецтво. 10-11 </w:t>
      </w:r>
      <w:proofErr w:type="spellStart"/>
      <w:r w:rsidRPr="002765F4">
        <w:rPr>
          <w:rFonts w:ascii="Times New Roman" w:hAnsi="Times New Roman" w:cs="Times New Roman"/>
          <w:sz w:val="28"/>
          <w:szCs w:val="28"/>
        </w:rPr>
        <w:t>кл</w:t>
      </w:r>
      <w:proofErr w:type="spellEnd"/>
      <w:r w:rsidRPr="002765F4">
        <w:rPr>
          <w:rFonts w:ascii="Times New Roman" w:hAnsi="Times New Roman" w:cs="Times New Roman"/>
          <w:sz w:val="28"/>
          <w:szCs w:val="28"/>
        </w:rPr>
        <w:t xml:space="preserve">.» окреслено сутність предметних мистецьких (музична, образотворча, хореографічна, театральна, екранна) та міжпредметних естетичних </w:t>
      </w:r>
      <w:proofErr w:type="spellStart"/>
      <w:r w:rsidRPr="002765F4">
        <w:rPr>
          <w:rFonts w:ascii="Times New Roman" w:hAnsi="Times New Roman" w:cs="Times New Roman"/>
          <w:sz w:val="28"/>
          <w:szCs w:val="28"/>
        </w:rPr>
        <w:t>компетентностей</w:t>
      </w:r>
      <w:proofErr w:type="spellEnd"/>
      <w:r w:rsidRPr="002765F4">
        <w:rPr>
          <w:rFonts w:ascii="Times New Roman" w:hAnsi="Times New Roman" w:cs="Times New Roman"/>
          <w:sz w:val="28"/>
          <w:szCs w:val="28"/>
        </w:rPr>
        <w:t xml:space="preserve">, які щонайперше формуються під час опанування учнями різних видів мистецтва. Визначено компоненти </w:t>
      </w:r>
      <w:proofErr w:type="spellStart"/>
      <w:r w:rsidRPr="002765F4">
        <w:rPr>
          <w:rFonts w:ascii="Times New Roman" w:hAnsi="Times New Roman" w:cs="Times New Roman"/>
          <w:sz w:val="28"/>
          <w:szCs w:val="28"/>
        </w:rPr>
        <w:t>компетеностей</w:t>
      </w:r>
      <w:proofErr w:type="spellEnd"/>
      <w:r w:rsidRPr="002765F4">
        <w:rPr>
          <w:rFonts w:ascii="Times New Roman" w:hAnsi="Times New Roman" w:cs="Times New Roman"/>
          <w:sz w:val="28"/>
          <w:szCs w:val="28"/>
        </w:rPr>
        <w:t xml:space="preserve"> – </w:t>
      </w:r>
      <w:proofErr w:type="spellStart"/>
      <w:r w:rsidRPr="002765F4">
        <w:rPr>
          <w:rFonts w:ascii="Times New Roman" w:hAnsi="Times New Roman" w:cs="Times New Roman"/>
          <w:sz w:val="28"/>
          <w:szCs w:val="28"/>
        </w:rPr>
        <w:t>знаннєвий</w:t>
      </w:r>
      <w:proofErr w:type="spellEnd"/>
      <w:r w:rsidRPr="002765F4">
        <w:rPr>
          <w:rFonts w:ascii="Times New Roman" w:hAnsi="Times New Roman" w:cs="Times New Roman"/>
          <w:sz w:val="28"/>
          <w:szCs w:val="28"/>
        </w:rPr>
        <w:t xml:space="preserve">,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w:t>
      </w:r>
      <w:proofErr w:type="spellStart"/>
      <w:r w:rsidRPr="002765F4">
        <w:rPr>
          <w:rFonts w:ascii="Times New Roman" w:hAnsi="Times New Roman" w:cs="Times New Roman"/>
          <w:sz w:val="28"/>
          <w:szCs w:val="28"/>
        </w:rPr>
        <w:t>компетентностей</w:t>
      </w:r>
      <w:proofErr w:type="spellEnd"/>
      <w:r w:rsidRPr="002765F4">
        <w:rPr>
          <w:rFonts w:ascii="Times New Roman" w:hAnsi="Times New Roman" w:cs="Times New Roman"/>
          <w:sz w:val="28"/>
          <w:szCs w:val="28"/>
        </w:rPr>
        <w:t xml:space="preserve">,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Важливість формування ключових </w:t>
      </w:r>
      <w:proofErr w:type="spellStart"/>
      <w:r w:rsidRPr="002765F4">
        <w:rPr>
          <w:rFonts w:ascii="Times New Roman" w:hAnsi="Times New Roman" w:cs="Times New Roman"/>
          <w:sz w:val="28"/>
          <w:szCs w:val="28"/>
        </w:rPr>
        <w:t>компетентностей</w:t>
      </w:r>
      <w:proofErr w:type="spellEnd"/>
      <w:r w:rsidRPr="002765F4">
        <w:rPr>
          <w:rFonts w:ascii="Times New Roman" w:hAnsi="Times New Roman" w:cs="Times New Roman"/>
          <w:sz w:val="28"/>
          <w:szCs w:val="28"/>
        </w:rPr>
        <w:t xml:space="preserve">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З метою інтеграції навчальних предметів і предметних циклів, формування ключових та міжпредметних </w:t>
      </w:r>
      <w:proofErr w:type="spellStart"/>
      <w:r w:rsidRPr="002765F4">
        <w:rPr>
          <w:rFonts w:ascii="Times New Roman" w:hAnsi="Times New Roman" w:cs="Times New Roman"/>
          <w:sz w:val="28"/>
          <w:szCs w:val="28"/>
        </w:rPr>
        <w:t>компетентностей</w:t>
      </w:r>
      <w:proofErr w:type="spellEnd"/>
      <w:r w:rsidRPr="002765F4">
        <w:rPr>
          <w:rFonts w:ascii="Times New Roman" w:hAnsi="Times New Roman" w:cs="Times New Roman"/>
          <w:sz w:val="28"/>
          <w:szCs w:val="28"/>
        </w:rPr>
        <w:t xml:space="preserve"> у зміст навчальних програм введено наскрізні змістові лінії – соціально значущі </w:t>
      </w:r>
      <w:proofErr w:type="spellStart"/>
      <w:r w:rsidRPr="002765F4">
        <w:rPr>
          <w:rFonts w:ascii="Times New Roman" w:hAnsi="Times New Roman" w:cs="Times New Roman"/>
          <w:sz w:val="28"/>
          <w:szCs w:val="28"/>
        </w:rPr>
        <w:t>надпредметні</w:t>
      </w:r>
      <w:proofErr w:type="spellEnd"/>
      <w:r w:rsidRPr="002765F4">
        <w:rPr>
          <w:rFonts w:ascii="Times New Roman" w:hAnsi="Times New Roman" w:cs="Times New Roman"/>
          <w:sz w:val="28"/>
          <w:szCs w:val="28"/>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w:t>
      </w:r>
      <w:r w:rsidRPr="002765F4">
        <w:rPr>
          <w:rFonts w:ascii="Times New Roman" w:hAnsi="Times New Roman" w:cs="Times New Roman"/>
          <w:sz w:val="28"/>
          <w:szCs w:val="28"/>
        </w:rPr>
        <w:lastRenderedPageBreak/>
        <w:t xml:space="preserve">мистецтва культурних регіонів світу, визначених ЮНЕСКО: африканського, американського, далекосхідного, індійського, </w:t>
      </w:r>
      <w:proofErr w:type="spellStart"/>
      <w:r w:rsidRPr="002765F4">
        <w:rPr>
          <w:rFonts w:ascii="Times New Roman" w:hAnsi="Times New Roman" w:cs="Times New Roman"/>
          <w:sz w:val="28"/>
          <w:szCs w:val="28"/>
        </w:rPr>
        <w:t>арабо</w:t>
      </w:r>
      <w:proofErr w:type="spellEnd"/>
      <w:r w:rsidRPr="002765F4">
        <w:rPr>
          <w:rFonts w:ascii="Times New Roman" w:hAnsi="Times New Roman" w:cs="Times New Roman"/>
          <w:sz w:val="28"/>
          <w:szCs w:val="28"/>
        </w:rPr>
        <w:t>-мусульманського, європейського (в тому числі, мистецтва України як невід’ємної складової європейського мистецтва).</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При цьому, наголошуємо, що навчальна програма дає можливості вчителю, 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 змінювати порядок вивчення тем у межах навчального року.</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формування в учнів системи </w:t>
      </w:r>
      <w:proofErr w:type="spellStart"/>
      <w:r w:rsidRPr="002765F4">
        <w:rPr>
          <w:rFonts w:ascii="Times New Roman" w:hAnsi="Times New Roman" w:cs="Times New Roman"/>
          <w:sz w:val="28"/>
          <w:szCs w:val="28"/>
        </w:rPr>
        <w:t>компетентностей</w:t>
      </w:r>
      <w:proofErr w:type="spellEnd"/>
      <w:r w:rsidRPr="002765F4">
        <w:rPr>
          <w:rFonts w:ascii="Times New Roman" w:hAnsi="Times New Roman" w:cs="Times New Roman"/>
          <w:sz w:val="28"/>
          <w:szCs w:val="28"/>
        </w:rPr>
        <w:t>, передбачених навчальною програмою.</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З-поміж найважливіших позицій викладання мистецтва в 10-11 класах, на яких має базуватися методичний арсенал учителя, такі.</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 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w:t>
      </w:r>
      <w:proofErr w:type="spellStart"/>
      <w:r w:rsidRPr="002765F4">
        <w:rPr>
          <w:rFonts w:ascii="Times New Roman" w:hAnsi="Times New Roman" w:cs="Times New Roman"/>
          <w:sz w:val="28"/>
          <w:szCs w:val="28"/>
        </w:rPr>
        <w:t>відеозйомці</w:t>
      </w:r>
      <w:proofErr w:type="spellEnd"/>
      <w:r w:rsidRPr="002765F4">
        <w:rPr>
          <w:rFonts w:ascii="Times New Roman" w:hAnsi="Times New Roman" w:cs="Times New Roman"/>
          <w:sz w:val="28"/>
          <w:szCs w:val="28"/>
        </w:rPr>
        <w:t xml:space="preserve"> тощо, що сприятиме активному формуванню </w:t>
      </w:r>
      <w:proofErr w:type="spellStart"/>
      <w:r w:rsidRPr="002765F4">
        <w:rPr>
          <w:rFonts w:ascii="Times New Roman" w:hAnsi="Times New Roman" w:cs="Times New Roman"/>
          <w:sz w:val="28"/>
          <w:szCs w:val="28"/>
        </w:rPr>
        <w:t>компетентностей</w:t>
      </w:r>
      <w:proofErr w:type="spellEnd"/>
      <w:r w:rsidRPr="002765F4">
        <w:rPr>
          <w:rFonts w:ascii="Times New Roman" w:hAnsi="Times New Roman" w:cs="Times New Roman"/>
          <w:sz w:val="28"/>
          <w:szCs w:val="28"/>
        </w:rPr>
        <w:t>, визначених навчальною програмою.</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Важливо збалансувати різні види діяльності учнів під час навчання і не перетворити курс «Мистецтво» у старшій школі в суто інформативний, не </w:t>
      </w:r>
      <w:r w:rsidRPr="002765F4">
        <w:rPr>
          <w:rFonts w:ascii="Times New Roman" w:hAnsi="Times New Roman" w:cs="Times New Roman"/>
          <w:sz w:val="28"/>
          <w:szCs w:val="28"/>
        </w:rPr>
        <w:lastRenderedPageBreak/>
        <w:t>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пізнавальну (2 години на тиждень),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художньо-практичну (3 години на тиждень), що репрезентована варіативними модулями, спрямованими на формування умінь з обраного (-</w:t>
      </w:r>
      <w:proofErr w:type="spellStart"/>
      <w:r w:rsidRPr="002765F4">
        <w:rPr>
          <w:rFonts w:ascii="Times New Roman" w:hAnsi="Times New Roman" w:cs="Times New Roman"/>
          <w:sz w:val="28"/>
          <w:szCs w:val="28"/>
        </w:rPr>
        <w:t>их</w:t>
      </w:r>
      <w:proofErr w:type="spellEnd"/>
      <w:r w:rsidRPr="002765F4">
        <w:rPr>
          <w:rFonts w:ascii="Times New Roman" w:hAnsi="Times New Roman" w:cs="Times New Roman"/>
          <w:sz w:val="28"/>
          <w:szCs w:val="28"/>
        </w:rPr>
        <w:t>) виду(-</w:t>
      </w:r>
      <w:proofErr w:type="spellStart"/>
      <w:r w:rsidRPr="002765F4">
        <w:rPr>
          <w:rFonts w:ascii="Times New Roman" w:hAnsi="Times New Roman" w:cs="Times New Roman"/>
          <w:sz w:val="28"/>
          <w:szCs w:val="28"/>
        </w:rPr>
        <w:t>ів</w:t>
      </w:r>
      <w:proofErr w:type="spellEnd"/>
      <w:r w:rsidRPr="002765F4">
        <w:rPr>
          <w:rFonts w:ascii="Times New Roman" w:hAnsi="Times New Roman" w:cs="Times New Roman"/>
          <w:sz w:val="28"/>
          <w:szCs w:val="28"/>
        </w:rPr>
        <w:t>) мистецької діяльності.</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 xml:space="preserve">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w:t>
      </w:r>
      <w:r w:rsidRPr="002765F4">
        <w:rPr>
          <w:rFonts w:ascii="Times New Roman" w:hAnsi="Times New Roman" w:cs="Times New Roman"/>
          <w:sz w:val="28"/>
          <w:szCs w:val="28"/>
        </w:rPr>
        <w:lastRenderedPageBreak/>
        <w:t>мистецької діяльності для поглибленого опановування учнями його змісту, набуття ними умінь та навичок з обраного (</w:t>
      </w:r>
      <w:proofErr w:type="spellStart"/>
      <w:r w:rsidRPr="002765F4">
        <w:rPr>
          <w:rFonts w:ascii="Times New Roman" w:hAnsi="Times New Roman" w:cs="Times New Roman"/>
          <w:sz w:val="28"/>
          <w:szCs w:val="28"/>
        </w:rPr>
        <w:t>их</w:t>
      </w:r>
      <w:proofErr w:type="spellEnd"/>
      <w:r w:rsidRPr="002765F4">
        <w:rPr>
          <w:rFonts w:ascii="Times New Roman" w:hAnsi="Times New Roman" w:cs="Times New Roman"/>
          <w:sz w:val="28"/>
          <w:szCs w:val="28"/>
        </w:rPr>
        <w:t>) виду (</w:t>
      </w:r>
      <w:proofErr w:type="spellStart"/>
      <w:r w:rsidRPr="002765F4">
        <w:rPr>
          <w:rFonts w:ascii="Times New Roman" w:hAnsi="Times New Roman" w:cs="Times New Roman"/>
          <w:sz w:val="28"/>
          <w:szCs w:val="28"/>
        </w:rPr>
        <w:t>ів</w:t>
      </w:r>
      <w:proofErr w:type="spellEnd"/>
      <w:r w:rsidRPr="002765F4">
        <w:rPr>
          <w:rFonts w:ascii="Times New Roman" w:hAnsi="Times New Roman" w:cs="Times New Roman"/>
          <w:sz w:val="28"/>
          <w:szCs w:val="28"/>
        </w:rPr>
        <w:t>) діяльності.</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Звертаємо увагу, що зміст модуля (-</w:t>
      </w:r>
      <w:proofErr w:type="spellStart"/>
      <w:r w:rsidRPr="002765F4">
        <w:rPr>
          <w:rFonts w:ascii="Times New Roman" w:hAnsi="Times New Roman" w:cs="Times New Roman"/>
          <w:sz w:val="28"/>
          <w:szCs w:val="28"/>
        </w:rPr>
        <w:t>ів</w:t>
      </w:r>
      <w:proofErr w:type="spellEnd"/>
      <w:r w:rsidRPr="002765F4">
        <w:rPr>
          <w:rFonts w:ascii="Times New Roman" w:hAnsi="Times New Roman" w:cs="Times New Roman"/>
          <w:sz w:val="28"/>
          <w:szCs w:val="28"/>
        </w:rPr>
        <w:t>) може бути не синхронізовано зі змістом пізнавальної складової, а спрямовано безпосередньо на опанування учнями певних мистецьких умінь і навичок.</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2765F4"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w:t>
      </w:r>
    </w:p>
    <w:p w:rsidR="004B6E38" w:rsidRPr="002765F4" w:rsidRDefault="002765F4" w:rsidP="002765F4">
      <w:pPr>
        <w:spacing w:after="0" w:line="240" w:lineRule="auto"/>
        <w:ind w:firstLine="709"/>
        <w:jc w:val="both"/>
        <w:rPr>
          <w:rFonts w:ascii="Times New Roman" w:hAnsi="Times New Roman" w:cs="Times New Roman"/>
          <w:sz w:val="28"/>
          <w:szCs w:val="28"/>
        </w:rPr>
      </w:pPr>
      <w:r w:rsidRPr="002765F4">
        <w:rPr>
          <w:rFonts w:ascii="Times New Roman" w:hAnsi="Times New Roman" w:cs="Times New Roman"/>
          <w:sz w:val="28"/>
          <w:szCs w:val="28"/>
        </w:rPr>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які мають бути збалансованими між собою.</w:t>
      </w:r>
    </w:p>
    <w:p w:rsidR="002765F4" w:rsidRPr="002765F4" w:rsidRDefault="002765F4">
      <w:pPr>
        <w:spacing w:after="0" w:line="240" w:lineRule="auto"/>
        <w:ind w:firstLine="709"/>
        <w:jc w:val="both"/>
        <w:rPr>
          <w:rFonts w:ascii="Times New Roman" w:hAnsi="Times New Roman" w:cs="Times New Roman"/>
          <w:sz w:val="28"/>
          <w:szCs w:val="28"/>
        </w:rPr>
      </w:pPr>
    </w:p>
    <w:sectPr w:rsidR="002765F4" w:rsidRPr="002765F4">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0F0D"/>
    <w:multiLevelType w:val="multilevel"/>
    <w:tmpl w:val="4D3C5D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BC7AFA"/>
    <w:multiLevelType w:val="multilevel"/>
    <w:tmpl w:val="4CAA86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4ED1425"/>
    <w:multiLevelType w:val="multilevel"/>
    <w:tmpl w:val="29620C6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38"/>
    <w:rsid w:val="002765F4"/>
    <w:rsid w:val="004B6E38"/>
    <w:rsid w:val="0098673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BCF3"/>
  <w15:docId w15:val="{9CACEC29-3A33-452C-A4BD-BC2A7C0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customStyle="1" w:styleId="-">
    <w:name w:val="Интернет-ссылка"/>
    <w:basedOn w:val="a0"/>
    <w:uiPriority w:val="99"/>
    <w:unhideWhenUsed/>
    <w:rsid w:val="00C01B7B"/>
    <w:rPr>
      <w:color w:val="0000FF"/>
      <w:u w:val="single"/>
    </w:rPr>
  </w:style>
  <w:style w:type="character" w:customStyle="1" w:styleId="a4">
    <w:name w:val="Текст выноски Знак"/>
    <w:basedOn w:val="a0"/>
    <w:uiPriority w:val="99"/>
    <w:semiHidden/>
    <w:qFormat/>
    <w:rsid w:val="007F1224"/>
    <w:rPr>
      <w:rFonts w:ascii="Segoe UI" w:hAnsi="Segoe UI" w:cs="Segoe UI"/>
      <w:sz w:val="18"/>
      <w:szCs w:val="18"/>
    </w:rPr>
  </w:style>
  <w:style w:type="paragraph" w:styleId="a5">
    <w:name w:val="Title"/>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styleId="aa">
    <w:name w:val="Normal (Web)"/>
    <w:basedOn w:val="a"/>
    <w:uiPriority w:val="99"/>
    <w:semiHidden/>
    <w:unhideWhenUsed/>
    <w:qFormat/>
    <w:rsid w:val="00C01B7B"/>
    <w:pPr>
      <w:spacing w:beforeAutospacing="1" w:afterAutospacing="1" w:line="240" w:lineRule="auto"/>
    </w:pPr>
    <w:rPr>
      <w:rFonts w:ascii="Times New Roman" w:eastAsia="Times New Roman" w:hAnsi="Times New Roman" w:cs="Times New Roman"/>
      <w:sz w:val="24"/>
      <w:szCs w:val="24"/>
      <w:lang w:eastAsia="uk-UA"/>
    </w:rPr>
  </w:style>
  <w:style w:type="paragraph" w:styleId="ab">
    <w:name w:val="Balloon Text"/>
    <w:basedOn w:val="a"/>
    <w:uiPriority w:val="99"/>
    <w:semiHidden/>
    <w:unhideWhenUsed/>
    <w:qFormat/>
    <w:rsid w:val="007F122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946074">
      <w:bodyDiv w:val="1"/>
      <w:marLeft w:val="0"/>
      <w:marRight w:val="0"/>
      <w:marTop w:val="0"/>
      <w:marBottom w:val="0"/>
      <w:divBdr>
        <w:top w:val="none" w:sz="0" w:space="0" w:color="auto"/>
        <w:left w:val="none" w:sz="0" w:space="0" w:color="auto"/>
        <w:bottom w:val="none" w:sz="0" w:space="0" w:color="auto"/>
        <w:right w:val="none" w:sz="0" w:space="0" w:color="auto"/>
      </w:divBdr>
      <w:divsChild>
        <w:div w:id="3293351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3175</Words>
  <Characters>18099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dc:description/>
  <cp:lastModifiedBy>Metodisti</cp:lastModifiedBy>
  <cp:revision>3</cp:revision>
  <cp:lastPrinted>2019-11-21T07:40:00Z</cp:lastPrinted>
  <dcterms:created xsi:type="dcterms:W3CDTF">2020-07-08T11:24:00Z</dcterms:created>
  <dcterms:modified xsi:type="dcterms:W3CDTF">2020-07-08T11:28:00Z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