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3855"/>
      </w:tblGrid>
      <w:tr w:rsidR="003A6897" w:rsidRPr="003A6897" w:rsidTr="003A6897">
        <w:trPr>
          <w:trHeight w:val="1418"/>
        </w:trPr>
        <w:tc>
          <w:tcPr>
            <w:tcW w:w="12135" w:type="dxa"/>
            <w:gridSpan w:val="2"/>
            <w:hideMark/>
          </w:tcPr>
          <w:p w:rsidR="003A6897" w:rsidRPr="003A6897" w:rsidRDefault="003A6897" w:rsidP="003A689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897" w:rsidRPr="003A6897" w:rsidTr="003A6897">
        <w:tc>
          <w:tcPr>
            <w:tcW w:w="12135" w:type="dxa"/>
            <w:gridSpan w:val="2"/>
            <w:hideMark/>
          </w:tcPr>
          <w:p w:rsidR="003A6897" w:rsidRPr="003A6897" w:rsidRDefault="003A6897" w:rsidP="003A689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</w:tc>
      </w:tr>
      <w:tr w:rsidR="003A6897" w:rsidRPr="003A6897" w:rsidTr="003A6897">
        <w:tc>
          <w:tcPr>
            <w:tcW w:w="12135" w:type="dxa"/>
            <w:gridSpan w:val="2"/>
            <w:hideMark/>
          </w:tcPr>
          <w:p w:rsidR="003A6897" w:rsidRPr="003A6897" w:rsidRDefault="003A6897" w:rsidP="003A689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3A6897" w:rsidRPr="003A6897" w:rsidTr="003A6897">
        <w:tc>
          <w:tcPr>
            <w:tcW w:w="12135" w:type="dxa"/>
            <w:gridSpan w:val="2"/>
            <w:hideMark/>
          </w:tcPr>
          <w:p w:rsidR="003A6897" w:rsidRPr="003A6897" w:rsidRDefault="003A6897" w:rsidP="003A689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22.05.2024  № 731</w:t>
            </w:r>
          </w:p>
        </w:tc>
      </w:tr>
      <w:tr w:rsidR="003A6897" w:rsidRPr="003A6897" w:rsidTr="003A6897">
        <w:tc>
          <w:tcPr>
            <w:tcW w:w="3000" w:type="pct"/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05 червня 2024 р.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834/42179</w:t>
            </w:r>
          </w:p>
        </w:tc>
      </w:tr>
    </w:tbl>
    <w:p w:rsidR="003A6897" w:rsidRPr="003A6897" w:rsidRDefault="003A6897" w:rsidP="003A689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Start w:id="2" w:name="_GoBack"/>
      <w:bookmarkEnd w:id="1"/>
      <w:r w:rsidRPr="003A68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Про затвердження особливостей використання освітньої субвенції </w:t>
      </w:r>
      <w:bookmarkEnd w:id="2"/>
      <w:r w:rsidRPr="003A68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</w:p>
    <w:p w:rsidR="003A6897" w:rsidRPr="003A6897" w:rsidRDefault="003A6897" w:rsidP="003A6897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73"/>
      <w:bookmarkEnd w:id="3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{Із змінами, внесеними згідно з Наказом Міністерства освіти і науки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6" w:anchor="n2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5"/>
      <w:bookmarkEnd w:id="4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7" w:anchor="n88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абзацу п’ятого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16 Порядку та умов надання освітньої субвенції з державного бюджету місцевим бюджетам (за спеціальним фондом державного бюджету) у 2023 році, затверджених постановою Кабінету Міністрів України від 19 вересня 2023 році № 1023, 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74"/>
      <w:bookmarkEnd w:id="5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{Преамбула із змінами, внесеними згідно з Наказом Міністерства освіти і науки </w:t>
      </w:r>
      <w:hyperlink r:id="rId8" w:anchor="n7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6"/>
      <w:bookmarkEnd w:id="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9" w:anchor="n14" w:history="1">
        <w:r w:rsidRPr="003A689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Особливості</w:t>
        </w:r>
      </w:hyperlink>
      <w:hyperlink r:id="rId10" w:anchor="n14" w:history="1">
        <w:r w:rsidRPr="003A689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 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додаються.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75"/>
      <w:bookmarkEnd w:id="7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 із змінами, внесеними згідно з Наказом Міністерства освіти і науки </w:t>
      </w:r>
      <w:hyperlink r:id="rId11" w:anchor="n10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7"/>
      <w:bookmarkEnd w:id="8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Директорату шкільної освіти (Хворостяний І.) забезпечити в установленому порядку подання цього наказу на державну реєстрацію до Міністерства юстиції України.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8"/>
      <w:bookmarkEnd w:id="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76"/>
      <w:bookmarkEnd w:id="1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3 із змінами, внесеними згідно з Наказом Міністерства освіти і науки </w:t>
      </w:r>
      <w:hyperlink r:id="rId12" w:anchor="n11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9"/>
      <w:bookmarkEnd w:id="1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Сташківа</w:t>
      </w:r>
      <w:proofErr w:type="spellEnd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1735"/>
        <w:gridCol w:w="3855"/>
      </w:tblGrid>
      <w:tr w:rsidR="003A6897" w:rsidRPr="003A6897" w:rsidTr="003A6897">
        <w:tc>
          <w:tcPr>
            <w:tcW w:w="2100" w:type="pct"/>
            <w:hideMark/>
          </w:tcPr>
          <w:p w:rsidR="003A6897" w:rsidRPr="003A6897" w:rsidRDefault="003A6897" w:rsidP="003A6897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0"/>
            <w:bookmarkEnd w:id="12"/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3A6897" w:rsidRPr="003A6897" w:rsidRDefault="003A6897" w:rsidP="003A689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</w:t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О. Лісовий</w:t>
            </w:r>
          </w:p>
        </w:tc>
      </w:tr>
      <w:tr w:rsidR="003A6897" w:rsidRPr="003A6897" w:rsidTr="003A6897">
        <w:tc>
          <w:tcPr>
            <w:tcW w:w="3000" w:type="pct"/>
            <w:gridSpan w:val="2"/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1"/>
            <w:bookmarkEnd w:id="13"/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Міністр фінансів України</w:t>
            </w:r>
          </w:p>
        </w:tc>
        <w:tc>
          <w:tcPr>
            <w:tcW w:w="2000" w:type="pct"/>
            <w:hideMark/>
          </w:tcPr>
          <w:p w:rsidR="003A6897" w:rsidRDefault="003A6897" w:rsidP="003A689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Марченко</w:t>
            </w:r>
          </w:p>
        </w:tc>
      </w:tr>
    </w:tbl>
    <w:p w:rsidR="003A6897" w:rsidRPr="003A6897" w:rsidRDefault="003A6897" w:rsidP="003A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89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6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3852"/>
      </w:tblGrid>
      <w:tr w:rsidR="003A6897" w:rsidRPr="003A6897" w:rsidTr="003A689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68"/>
            <w:bookmarkStart w:id="15" w:name="n12"/>
            <w:bookmarkEnd w:id="14"/>
            <w:bookmarkEnd w:id="15"/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освіти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науки України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 травня 2024 року № 731</w:t>
            </w:r>
          </w:p>
        </w:tc>
      </w:tr>
    </w:tbl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77"/>
      <w:bookmarkEnd w:id="16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{Гриф затвердження із змінами, внесеними згідно з Наказом Міністерства освіти і науки </w:t>
      </w:r>
      <w:hyperlink r:id="rId13" w:anchor="n13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3852"/>
      </w:tblGrid>
      <w:tr w:rsidR="003A6897" w:rsidRPr="003A6897" w:rsidTr="003A689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13"/>
            <w:bookmarkEnd w:id="17"/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3A68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05 червня 2024 р.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834/42179</w:t>
            </w:r>
          </w:p>
        </w:tc>
      </w:tr>
    </w:tbl>
    <w:p w:rsidR="003A6897" w:rsidRPr="003A6897" w:rsidRDefault="003A6897" w:rsidP="003A689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14"/>
      <w:bookmarkEnd w:id="18"/>
      <w:r w:rsidRPr="003A68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ОСОБЛИВОСТІ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15"/>
      <w:bookmarkEnd w:id="1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Ці Особливості визначають механізм та критерії розподілу коштів між обласним бюджетом та бюджетами територіальних громад, визначених </w:t>
      </w:r>
      <w:hyperlink r:id="rId14" w:anchor="n11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додатком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постанови Кабінету Міністрів України від 27 грудня 2023 року № 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 (далі - постанова № 1374).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78"/>
      <w:bookmarkEnd w:id="2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 із змінами, внесеними згідно з Наказом Міністерства освіти і науки </w:t>
      </w:r>
      <w:hyperlink r:id="rId15" w:anchor="n14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16"/>
      <w:bookmarkEnd w:id="2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Обласними та Київською міською державною адміністраціями (військовими адміністраціями) затверджується перелік осередків викладання навчального предмета «Захист України» (далі - осередки) у закладах освіти, визначених </w:t>
      </w:r>
      <w:hyperlink r:id="rId16" w:anchor="n78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підпунктом 1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6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та умов надання освітньої субвенції з державного бюджету місцевим бюджетам (за спеціальним фондом державного бюджету) у 2023 році, затвердженого постановою Кабінету Міністрів України від 19 вересня 2023 року № 1023 (далі - Порядок та умови).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79"/>
      <w:bookmarkEnd w:id="22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перший пункту 2 із змінами, внесеними згідно з Наказом Міністерства освіти і науки </w:t>
      </w:r>
      <w:hyperlink r:id="rId17" w:anchor="n15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bookmarkStart w:id="23" w:name="n81"/>
      <w:bookmarkEnd w:id="23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пункту 2 виключено на підставі Наказу Міністерства освіти і науки </w:t>
      </w:r>
      <w:hyperlink r:id="rId18" w:anchor="n17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18"/>
      <w:bookmarkEnd w:id="24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Територіальні громади, органи управління освітою облдержадміністрацій та районних в місті Києві державних адміністрацій надають обласним та Київській міській державним адміністраціям (військовим адміністраціям) заявки щодо створення осередків у закладах освіти, які перебувають у сфері їхнього управління.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19"/>
      <w:bookmarkEnd w:id="25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У заявці повинні бути зазначені: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0"/>
      <w:bookmarkEnd w:id="2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місцезнаходження юридичної особи та повне найменування закладу освіти, у якому буде створено осередок (у разі надання декількох закладів освіти одним засновником заявка подається в розрізі кожного закладу);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82"/>
      <w:bookmarkEnd w:id="27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пункту 4 із змінами, внесеними згідно з Наказом Міністерства освіти і науки </w:t>
      </w:r>
      <w:hyperlink r:id="rId19" w:anchor="n18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21"/>
      <w:bookmarkEnd w:id="28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код і назва місцевого бюджету;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22"/>
      <w:bookmarkEnd w:id="2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кількість учнів 10, 11 класів / учнів (студентів, курсантів) у групах із одночасним здобуттям повної загальної середньої освіти, які навчаються в запропонованому закладі освіти;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84"/>
      <w:bookmarkEnd w:id="3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четвертий пункту 4 із змінами, внесеними згідно з Наказом Міністерства освіти і науки </w:t>
      </w:r>
      <w:hyperlink r:id="rId20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23"/>
      <w:bookmarkEnd w:id="3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інформація про наявність укриття;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24"/>
      <w:bookmarkEnd w:id="32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кількість учнів 10, 11 класів / учнів (студентів, курсантів) у групах із одночасним здобуттям повної загальної середньої освіти, яких планують підвозити до закладу освіти, у якому створюється осередок;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86"/>
      <w:bookmarkEnd w:id="33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шостий пункту 4 із змінами, внесеними згідно з Наказом Міністерства освіти і науки </w:t>
      </w:r>
      <w:hyperlink r:id="rId21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25"/>
      <w:bookmarkEnd w:id="34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перелік закладів освіти, з яких планується підвезення учнів до осередку;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26"/>
      <w:bookmarkEnd w:id="35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кількість і назва приміщень, у яких планується облаштувати функційні зони осередку;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27"/>
      <w:bookmarkEnd w:id="3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планова кількість учителів навчального предмета «Захист України» (далі - навчального предмета);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28"/>
      <w:bookmarkEnd w:id="37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загальна кошторисна вартість обладнання осередку «Захист України»;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29"/>
      <w:bookmarkEnd w:id="38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розмір співфінансування з місцевого бюджету.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30"/>
      <w:bookmarkEnd w:id="3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 розрахунку загальної кошторисної вартості обладнання осередку необхідно врахувати наявну матеріально-технічну базу для забезпечення викладання навчального предмета «Захист України» у закладі освіти, у якому заплановано створення осередку та обладнання, яке може бути передане із закладів освіти, з яких заплановане підвезення дітей.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31"/>
      <w:bookmarkEnd w:id="40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Обласні та Київська міська державні адміністрації (військові адміністрації) розглядають отримані заявки, формують перелік осередків, які будуть створені у закладах освіти (далі - перелік) та здійснюють розподіл субвенції між обласним бюджетом та бюджетами територіальних громад.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32"/>
      <w:bookmarkEnd w:id="4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Під час формування переліку обласні, Київська міська державні адміністрації (військові адміністрації) враховують вимоги, визначені в </w:t>
      </w:r>
      <w:hyperlink r:id="rId22" w:anchor="n33" w:history="1">
        <w:r w:rsidRPr="003A689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пунктах 7-10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цих Особливостей.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33"/>
      <w:bookmarkEnd w:id="42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Осередки створюються в закладах: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34"/>
      <w:bookmarkEnd w:id="43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професійної (професійно-технічної) та фахової </w:t>
      </w:r>
      <w:proofErr w:type="spellStart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передвищої</w:t>
      </w:r>
      <w:proofErr w:type="spellEnd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освіти, у яких навчається не менше ніж 200 учнів (студентів, курсантів) у групах із одночасним здобуттям повної загальної середньої освіти;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35"/>
      <w:bookmarkEnd w:id="44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загальної середньої освіти комунальної форми власності, які плануються бути включеними до </w:t>
      </w:r>
      <w:proofErr w:type="spellStart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проєктної</w:t>
      </w:r>
      <w:proofErr w:type="spellEnd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мережі академічних ліцеїв та забезпечують навчання не менше ніж 80 учнів 10, 11 класів цього закладу освіти та закладів освіти, з яких буде забезпечено підвезення учнів.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90"/>
      <w:bookmarkEnd w:id="45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третій пункту 7 із змінами, внесеними згідно з Наказом Міністерства освіти і науки </w:t>
      </w:r>
      <w:hyperlink r:id="rId23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36"/>
      <w:bookmarkEnd w:id="4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 Осередок повинен відповідати таким критеріям: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37"/>
      <w:bookmarkEnd w:id="47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мати приміщення, які можуть бути обладнані виключно для викладання навчального предмета, простір яких створюється шляхом зонування для досягнення ефективного викладання всіх модулів програми навчального предмета;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38"/>
      <w:bookmarkEnd w:id="48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мати зручний доступ для учнів інших закладів освіти, які будуть охоплені навчанням навчального предмета в осередку;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39"/>
      <w:bookmarkEnd w:id="4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бути розташованим в громаді, у закладах загальної середньої освіти якої навчається 80 або більше учнів 10, 11 класів закладів загальної середньої освіти;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91"/>
      <w:bookmarkEnd w:id="5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четвертий пункту 8 із змінами, внесеними згідно з Наказом Міністерства освіти і науки </w:t>
      </w:r>
      <w:hyperlink r:id="rId24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40"/>
      <w:bookmarkEnd w:id="5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осередок або декілька осередків створених у межах однієї територіальної громади повинні забезпечувати можливість викладання всіх модулів, передбачених модельною навчальною програмою «Захист України»;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41"/>
      <w:bookmarkEnd w:id="52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повинен бути обладнаним для забезпечення освітнього процесу здобувачів освіти відповідно до модельної навчальної програми «Захист України» не пізніше ніж 01 жовтня 2024 року.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42"/>
      <w:bookmarkEnd w:id="53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9. У випадку, якщо в закладах загальної середньої освіти громади навчається в 10, 11 класах 1000 або більше учнів, може бути створено декілька осередків з розрахунку 1 додатковий осередок на кожні 1000 учнів.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92"/>
      <w:bookmarkEnd w:id="54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перший пункту 9 із змінами, внесеними згідно з Наказом Міністерства освіти і науки </w:t>
      </w:r>
      <w:hyperlink r:id="rId25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43"/>
      <w:bookmarkEnd w:id="55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випадку наявності декількох осередків в громаді може бути прийняте рішення щодо розміщення функційних зон викладання різних модулів навчального предмета на базі різних закладів освіти.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44"/>
      <w:bookmarkEnd w:id="5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10. Обласні та Київська міська державні адміністрації (військові адміністрації) при формуванні переліку осередків враховують загальний обсяг коштів, визначений </w:t>
      </w:r>
      <w:hyperlink r:id="rId26" w:anchor="n11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додатком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постанови № 1374, надаючи перевагу тим, які будуть охоплювати навчанням більшу кількість здобувачів освіти.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45"/>
      <w:bookmarkEnd w:id="57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11. Обласні та Київська міська державні адміністрації (військові адміністрації) формують переліки осередків із зазначенням: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96"/>
      <w:bookmarkEnd w:id="58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перший пункту 11 із змінами, внесеними згідно з Наказом Міністерства освіти і науки </w:t>
      </w:r>
      <w:hyperlink r:id="rId27" w:anchor="n21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46"/>
      <w:bookmarkEnd w:id="5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коду та назви місцевого бюджету;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47"/>
      <w:bookmarkEnd w:id="60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адреси та найменування закладу освіти, у якому буде створено осередок;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83"/>
      <w:bookmarkEnd w:id="61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третій пункту 11 із змінами, внесеними згідно з Наказом Міністерства освіти і науки </w:t>
      </w:r>
      <w:hyperlink r:id="rId28" w:anchor="n18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48"/>
      <w:bookmarkEnd w:id="62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кількості учнів 10, 11 класів/ учнів (студентів, курсантів) у групах із одночасним здобуттям повної загальної середньої освіти, яких планують підвозити до закладу освіти, у якому створюється осередок;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93"/>
      <w:bookmarkEnd w:id="63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четвертий пункту 11 із змінами, внесеними згідно з Наказом Міністерства освіти і науки </w:t>
      </w:r>
      <w:hyperlink r:id="rId29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49"/>
      <w:bookmarkEnd w:id="64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кількості учнів 10, 11 класів/ учнів (студентів, курсантів) у групах із одночасним здобуттям повної загальної середньої освіти, які навчаються в запропонованому закладі освіти;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95"/>
      <w:bookmarkEnd w:id="65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п'ятий пункту 11 із змінами, внесеними згідно з Наказом Міністерства освіти і науки </w:t>
      </w:r>
      <w:hyperlink r:id="rId30" w:anchor="n19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50"/>
      <w:bookmarkEnd w:id="6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кількості вчителів навчального предмета;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51"/>
      <w:bookmarkEnd w:id="67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переліку функційних зон, якими буде облаштовано простір осередку,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52"/>
      <w:bookmarkEnd w:id="68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затверджують їх.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53"/>
      <w:bookmarkEnd w:id="6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12. Обласні державні адміністрації (військові адміністрації) здійснюють розподіл субвенції між обласним бюджетом та бюджетами територіальних громад з урахуванням потреби, визначеної у заявках на створення осередків у закладах освіти, відповідно до затвердженого переліку та обсягів співфінансування з місцевих бюджетів.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97"/>
      <w:bookmarkEnd w:id="7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12 із змінами, внесеними згідно з Наказом Міністерства освіти і науки </w:t>
      </w:r>
      <w:hyperlink r:id="rId31" w:anchor="n21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54"/>
      <w:bookmarkEnd w:id="7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13. Видатки, передбачені </w:t>
      </w:r>
      <w:hyperlink r:id="rId32" w:anchor="n78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підпунктом 1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6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та умов, спрямовуються на обладнання осередків.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80"/>
      <w:bookmarkEnd w:id="72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lastRenderedPageBreak/>
        <w:t>{Абзац перший пункту 13 із змінами, внесеними згідно з Наказом Міністерства освіти і науки </w:t>
      </w:r>
      <w:hyperlink r:id="rId33" w:anchor="n15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100"/>
      <w:bookmarkEnd w:id="73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Перелік засобів навчання та обладнання для забезпечення викладання навчального предмета «Захист України» закладами освіти визначено </w:t>
      </w:r>
      <w:hyperlink r:id="rId34" w:anchor="n14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Типовим переліком засобів навчання та обладнання для навчальних кабінетів предмета «Захист України» закладів освіти, які забезпечують здобуття повної загальної середньої освіти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затвердженим наказом Міністерства освіти і науки України від 13 грудня 2021 року № 1357, зареєстрованим в Міністерстві юстиції України 30 грудня 2021 року за № 1686/37308.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4" w:name="n101"/>
      <w:bookmarkEnd w:id="74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пункту 13 в редакції Наказу Міністерства освіти і науки </w:t>
      </w:r>
      <w:hyperlink r:id="rId35" w:anchor="n22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5" w:name="n56"/>
      <w:bookmarkEnd w:id="75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14. Планування видатків щодо використання коштів, визначених </w:t>
      </w:r>
      <w:hyperlink r:id="rId36" w:anchor="n11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додатком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постанови № 1374, має здійснюватися за ТПКВКМБ 1290 «Виконання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6" w:name="n57"/>
      <w:bookmarkEnd w:id="76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15. Закупівля товарів, передбачених цими Особливостями, здійснюється в установленому законодавством порядку.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7" w:name="n58"/>
      <w:bookmarkEnd w:id="77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Закупівля товару, передбаченого цими Особливостями, вартість якого становить або перевищує 100 тис. гривень, здійснюється замовниками з використанням електронного каталогу в установленому законодавством порядку, у разі, якщо такий товар наявний в електронному каталозі. У випадку, коли закупівля товару, передбаченого </w:t>
      </w:r>
      <w:hyperlink r:id="rId37" w:anchor="n23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пунктом 4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та умов, вартість якого становить або перевищує 100 тис. гривень, з використанням електронного каталогу не відбулася, замовник здійснює закупівлю в установленому законодавством порядку.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8" w:name="n102"/>
      <w:bookmarkEnd w:id="78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пункту 15 із змінами, внесеними згідно з Наказом Міністерства освіти і науки </w:t>
      </w:r>
      <w:hyperlink r:id="rId38" w:anchor="n24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9" w:name="n59"/>
      <w:bookmarkEnd w:id="79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16. Заклади післядипломної педагогічної освіти комунальної форми власності з метою ефективного використання видатків, передбачених </w:t>
      </w:r>
      <w:hyperlink r:id="rId39" w:anchor="n81" w:tgtFrame="_blank" w:history="1">
        <w:r w:rsidRPr="003A689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підпунктом 2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6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та умов, можуть спрямовувати їх на оплату послуг фахівців та інших організацій, які будуть залучені на договірних умовах до підвищення кваліфікації педагогічних працівників та підготовки тренерів-педагогів.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0" w:name="n103"/>
      <w:bookmarkEnd w:id="8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16 із змінами, внесеними згідно з Наказом Міністерства освіти і науки </w:t>
      </w:r>
      <w:hyperlink r:id="rId40" w:anchor="n25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1" w:name="n60"/>
      <w:bookmarkEnd w:id="81"/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17. Обласні та Київська міська державні адміністрації (військові адміністрації) щоквартально до 20 числа наступного місяця надають МОН звіти за формами згідно з </w:t>
      </w:r>
      <w:hyperlink r:id="rId41" w:anchor="n62" w:history="1">
        <w:r w:rsidRPr="003A689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додатками 1-3</w:t>
        </w:r>
      </w:hyperlink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цих Особливостей.</w:t>
      </w:r>
    </w:p>
    <w:p w:rsidR="003A6897" w:rsidRPr="003A6897" w:rsidRDefault="003A6897" w:rsidP="003A689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2" w:name="n105"/>
      <w:bookmarkEnd w:id="82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17 із змінами, внесеними згідно з Наказом Міністерства освіти і науки </w:t>
      </w:r>
      <w:hyperlink r:id="rId42" w:anchor="n25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586"/>
      </w:tblGrid>
      <w:tr w:rsidR="003A6897" w:rsidRPr="003A6897" w:rsidTr="003A689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3A689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n61"/>
            <w:bookmarkEnd w:id="83"/>
            <w:proofErr w:type="spellStart"/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Т.в.о</w:t>
            </w:r>
            <w:proofErr w:type="spellEnd"/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генерального директора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директорату 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3A689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A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 Балашова</w:t>
            </w:r>
          </w:p>
        </w:tc>
      </w:tr>
    </w:tbl>
    <w:p w:rsidR="003A6897" w:rsidRDefault="003A6897" w:rsidP="003A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897" w:rsidRDefault="003A6897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3A6897" w:rsidRPr="003A6897" w:rsidRDefault="003A6897" w:rsidP="003A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89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7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2"/>
      </w:tblGrid>
      <w:tr w:rsidR="003A6897" w:rsidRPr="003A6897" w:rsidTr="003A6897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9840CA">
            <w:pPr>
              <w:spacing w:before="150" w:after="15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n69"/>
            <w:bookmarkStart w:id="85" w:name="n62"/>
            <w:bookmarkEnd w:id="84"/>
            <w:bookmarkEnd w:id="85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9840CA">
            <w:pPr>
              <w:spacing w:before="150" w:after="15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Особливостей використання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освітньої субвенції з державного бюджету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місцевим бюджетам (за спеціальним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фондом державного бюджету)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забезпечення викладання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навчального предмета «Захист України»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17)</w:t>
            </w:r>
          </w:p>
        </w:tc>
      </w:tr>
    </w:tbl>
    <w:bookmarkStart w:id="86" w:name="n63"/>
    <w:bookmarkEnd w:id="86"/>
    <w:p w:rsidR="003A6897" w:rsidRPr="003A6897" w:rsidRDefault="003A6897" w:rsidP="009840CA">
      <w:pPr>
        <w:shd w:val="clear" w:color="auto" w:fill="FFFFFF"/>
        <w:spacing w:before="150" w:after="150" w:line="192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"https://zakon.rada.gov.ua/laws/file/text/117/f536165n111.docx" </w:instrTex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3A689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Звіт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департаменту (управління) ____________ обласної державної, військової адміністрації про використання коштів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</w:p>
    <w:p w:rsidR="003A6897" w:rsidRPr="003A6897" w:rsidRDefault="003A6897" w:rsidP="009840CA">
      <w:pPr>
        <w:shd w:val="clear" w:color="auto" w:fill="FFFFFF"/>
        <w:spacing w:after="150" w:line="192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7" w:name="n106"/>
      <w:bookmarkEnd w:id="87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1 із змінами, внесеними згідно з Наказом Міністерства освіти і науки </w:t>
      </w:r>
      <w:hyperlink r:id="rId43" w:anchor="n27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2"/>
      </w:tblGrid>
      <w:tr w:rsidR="003A6897" w:rsidRPr="003A6897" w:rsidTr="003A6897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9840CA">
            <w:pPr>
              <w:spacing w:before="150" w:after="15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n64"/>
            <w:bookmarkEnd w:id="8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9840CA">
            <w:pPr>
              <w:spacing w:before="150" w:after="15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Особливостей використання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освітньої субвенції з державного бюджету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місцевим бюджетам (за спеціальним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фондом державного бюджету)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забезпечення викладання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навчального предмета «Захист України»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17)</w:t>
            </w:r>
          </w:p>
        </w:tc>
      </w:tr>
    </w:tbl>
    <w:bookmarkStart w:id="89" w:name="n65"/>
    <w:bookmarkEnd w:id="89"/>
    <w:p w:rsidR="003A6897" w:rsidRPr="003A6897" w:rsidRDefault="003A6897" w:rsidP="009840CA">
      <w:pPr>
        <w:shd w:val="clear" w:color="auto" w:fill="FFFFFF"/>
        <w:spacing w:before="150" w:after="150" w:line="192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"https://zakon.rada.gov.ua/laws/file/text/117/f536165n112.docx" </w:instrTex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3A689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Звіт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департаменту (управління) _____________ обласної державної, військової адміністрації про обладнання осередків викладання предмету «Захист України» за кошти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</w:p>
    <w:p w:rsidR="003A6897" w:rsidRPr="003A6897" w:rsidRDefault="003A6897" w:rsidP="009840CA">
      <w:pPr>
        <w:shd w:val="clear" w:color="auto" w:fill="FFFFFF"/>
        <w:spacing w:after="150" w:line="192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0" w:name="n109"/>
      <w:bookmarkEnd w:id="90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2 із змінами, внесеними згідно з Наказом Міністерства освіти і науки </w:t>
      </w:r>
      <w:hyperlink r:id="rId44" w:anchor="n28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2"/>
      </w:tblGrid>
      <w:tr w:rsidR="003A6897" w:rsidRPr="003A6897" w:rsidTr="003A6897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9840CA">
            <w:pPr>
              <w:spacing w:before="150" w:after="15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n66"/>
            <w:bookmarkEnd w:id="9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6897" w:rsidRPr="003A6897" w:rsidRDefault="003A6897" w:rsidP="009840CA">
            <w:pPr>
              <w:spacing w:before="150" w:after="15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Особливостей використання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освітньої субвенції з державного бюджету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місцевим бюджетам (за спеціальним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фондом державного бюджету)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забезпечення викладання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навчального предмета «Захист України»</w:t>
            </w:r>
            <w:r w:rsidRPr="003A6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17)</w:t>
            </w:r>
          </w:p>
        </w:tc>
      </w:tr>
    </w:tbl>
    <w:bookmarkStart w:id="92" w:name="n67"/>
    <w:bookmarkEnd w:id="92"/>
    <w:p w:rsidR="003A6897" w:rsidRPr="003A6897" w:rsidRDefault="003A6897" w:rsidP="009840CA">
      <w:pPr>
        <w:shd w:val="clear" w:color="auto" w:fill="FFFFFF"/>
        <w:spacing w:before="150" w:after="150" w:line="192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"https://zakon.rada.gov.ua/laws/file/text/117/f536165n113.docx" </w:instrTex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3A689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Звіт</w:t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3A689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департаменту (управління) ____________ обласної державної, військової адміністрації освіти про використання коштів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 за напрямом </w:t>
      </w:r>
      <w:r w:rsidRPr="003A6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підвищення кваліфікації педагогічних працівників закладів освіти, які забезпечують викладання навчального предмета «Захист України» (видатки споживання)</w:t>
      </w:r>
    </w:p>
    <w:p w:rsidR="003A6897" w:rsidRPr="003A6897" w:rsidRDefault="003A6897" w:rsidP="009840CA">
      <w:pPr>
        <w:shd w:val="clear" w:color="auto" w:fill="FFFFFF"/>
        <w:spacing w:after="150" w:line="192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3" w:name="n110"/>
      <w:bookmarkEnd w:id="93"/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3 із змінами, внесеними згідно з Наказом Міністерства освіти і науки </w:t>
      </w:r>
      <w:hyperlink r:id="rId45" w:anchor="n31" w:tgtFrame="_blank" w:history="1">
        <w:r w:rsidRPr="003A689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819 від 06.06.2024</w:t>
        </w:r>
      </w:hyperlink>
      <w:r w:rsidRPr="003A6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7547C0" w:rsidRDefault="007547C0"/>
    <w:sectPr w:rsidR="007547C0" w:rsidSect="003A689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97"/>
    <w:rsid w:val="0013590E"/>
    <w:rsid w:val="003A6897"/>
    <w:rsid w:val="007547C0"/>
    <w:rsid w:val="009840CA"/>
    <w:rsid w:val="00E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CB80"/>
  <w15:chartTrackingRefBased/>
  <w15:docId w15:val="{2FA16DB1-003D-4887-8838-DEAD3A9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A6897"/>
  </w:style>
  <w:style w:type="character" w:customStyle="1" w:styleId="rvts23">
    <w:name w:val="rvts23"/>
    <w:basedOn w:val="a0"/>
    <w:rsid w:val="003A6897"/>
  </w:style>
  <w:style w:type="paragraph" w:customStyle="1" w:styleId="rvps7">
    <w:name w:val="rvps7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A6897"/>
  </w:style>
  <w:style w:type="paragraph" w:customStyle="1" w:styleId="rvps14">
    <w:name w:val="rvps14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A6897"/>
    <w:rPr>
      <w:color w:val="0000FF"/>
      <w:u w:val="single"/>
    </w:rPr>
  </w:style>
  <w:style w:type="paragraph" w:customStyle="1" w:styleId="rvps2">
    <w:name w:val="rvps2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3A6897"/>
  </w:style>
  <w:style w:type="character" w:customStyle="1" w:styleId="rvts46">
    <w:name w:val="rvts46"/>
    <w:basedOn w:val="a0"/>
    <w:rsid w:val="003A6897"/>
  </w:style>
  <w:style w:type="character" w:customStyle="1" w:styleId="rvts44">
    <w:name w:val="rvts44"/>
    <w:basedOn w:val="a0"/>
    <w:rsid w:val="003A6897"/>
  </w:style>
  <w:style w:type="paragraph" w:customStyle="1" w:styleId="rvps15">
    <w:name w:val="rvps15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3A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3A6897"/>
  </w:style>
  <w:style w:type="paragraph" w:styleId="a4">
    <w:name w:val="Balloon Text"/>
    <w:basedOn w:val="a"/>
    <w:link w:val="a5"/>
    <w:uiPriority w:val="99"/>
    <w:semiHidden/>
    <w:unhideWhenUsed/>
    <w:rsid w:val="00E5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865-24" TargetMode="External"/><Relationship Id="rId18" Type="http://schemas.openxmlformats.org/officeDocument/2006/relationships/hyperlink" Target="https://zakon.rada.gov.ua/laws/show/z0865-24" TargetMode="External"/><Relationship Id="rId26" Type="http://schemas.openxmlformats.org/officeDocument/2006/relationships/hyperlink" Target="https://zakon.rada.gov.ua/laws/show/1374-2023-%D0%BF" TargetMode="External"/><Relationship Id="rId39" Type="http://schemas.openxmlformats.org/officeDocument/2006/relationships/hyperlink" Target="https://zakon.rada.gov.ua/laws/show/1023-2023-%D0%BF" TargetMode="External"/><Relationship Id="rId21" Type="http://schemas.openxmlformats.org/officeDocument/2006/relationships/hyperlink" Target="https://zakon.rada.gov.ua/laws/show/z0865-24" TargetMode="External"/><Relationship Id="rId34" Type="http://schemas.openxmlformats.org/officeDocument/2006/relationships/hyperlink" Target="https://zakon.rada.gov.ua/laws/show/z1686-21" TargetMode="External"/><Relationship Id="rId42" Type="http://schemas.openxmlformats.org/officeDocument/2006/relationships/hyperlink" Target="https://zakon.rada.gov.ua/laws/show/z0865-2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zakon.rada.gov.ua/laws/show/1023-2023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023-2023-%D0%BF" TargetMode="External"/><Relationship Id="rId29" Type="http://schemas.openxmlformats.org/officeDocument/2006/relationships/hyperlink" Target="https://zakon.rada.gov.ua/laws/show/z0865-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865-24" TargetMode="External"/><Relationship Id="rId11" Type="http://schemas.openxmlformats.org/officeDocument/2006/relationships/hyperlink" Target="https://zakon.rada.gov.ua/laws/show/z0865-24" TargetMode="External"/><Relationship Id="rId24" Type="http://schemas.openxmlformats.org/officeDocument/2006/relationships/hyperlink" Target="https://zakon.rada.gov.ua/laws/show/z0865-24" TargetMode="External"/><Relationship Id="rId32" Type="http://schemas.openxmlformats.org/officeDocument/2006/relationships/hyperlink" Target="https://zakon.rada.gov.ua/laws/show/1023-2023-%D0%BF" TargetMode="External"/><Relationship Id="rId37" Type="http://schemas.openxmlformats.org/officeDocument/2006/relationships/hyperlink" Target="https://zakon.rada.gov.ua/laws/show/1023-2023-%D0%BF" TargetMode="External"/><Relationship Id="rId40" Type="http://schemas.openxmlformats.org/officeDocument/2006/relationships/hyperlink" Target="https://zakon.rada.gov.ua/laws/show/z0865-24" TargetMode="External"/><Relationship Id="rId45" Type="http://schemas.openxmlformats.org/officeDocument/2006/relationships/hyperlink" Target="https://zakon.rada.gov.ua/laws/show/z0865-2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0865-24" TargetMode="External"/><Relationship Id="rId23" Type="http://schemas.openxmlformats.org/officeDocument/2006/relationships/hyperlink" Target="https://zakon.rada.gov.ua/laws/show/z0865-24" TargetMode="External"/><Relationship Id="rId28" Type="http://schemas.openxmlformats.org/officeDocument/2006/relationships/hyperlink" Target="https://zakon.rada.gov.ua/laws/show/z0865-24" TargetMode="External"/><Relationship Id="rId36" Type="http://schemas.openxmlformats.org/officeDocument/2006/relationships/hyperlink" Target="https://zakon.rada.gov.ua/laws/show/1374-2023-%D0%BF" TargetMode="External"/><Relationship Id="rId10" Type="http://schemas.openxmlformats.org/officeDocument/2006/relationships/hyperlink" Target="https://zakon.rada.gov.ua/laws/show/z0834-24" TargetMode="External"/><Relationship Id="rId19" Type="http://schemas.openxmlformats.org/officeDocument/2006/relationships/hyperlink" Target="https://zakon.rada.gov.ua/laws/show/z0865-24" TargetMode="External"/><Relationship Id="rId31" Type="http://schemas.openxmlformats.org/officeDocument/2006/relationships/hyperlink" Target="https://zakon.rada.gov.ua/laws/show/z0865-24" TargetMode="External"/><Relationship Id="rId44" Type="http://schemas.openxmlformats.org/officeDocument/2006/relationships/hyperlink" Target="https://zakon.rada.gov.ua/laws/show/z0865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34-24" TargetMode="External"/><Relationship Id="rId14" Type="http://schemas.openxmlformats.org/officeDocument/2006/relationships/hyperlink" Target="https://zakon.rada.gov.ua/laws/show/1374-2023-%D0%BF" TargetMode="External"/><Relationship Id="rId22" Type="http://schemas.openxmlformats.org/officeDocument/2006/relationships/hyperlink" Target="https://zakon.rada.gov.ua/laws/show/z0834-24" TargetMode="External"/><Relationship Id="rId27" Type="http://schemas.openxmlformats.org/officeDocument/2006/relationships/hyperlink" Target="https://zakon.rada.gov.ua/laws/show/z0865-24" TargetMode="External"/><Relationship Id="rId30" Type="http://schemas.openxmlformats.org/officeDocument/2006/relationships/hyperlink" Target="https://zakon.rada.gov.ua/laws/show/z0865-24" TargetMode="External"/><Relationship Id="rId35" Type="http://schemas.openxmlformats.org/officeDocument/2006/relationships/hyperlink" Target="https://zakon.rada.gov.ua/laws/show/z0865-24" TargetMode="External"/><Relationship Id="rId43" Type="http://schemas.openxmlformats.org/officeDocument/2006/relationships/hyperlink" Target="https://zakon.rada.gov.ua/laws/show/z0865-24" TargetMode="External"/><Relationship Id="rId8" Type="http://schemas.openxmlformats.org/officeDocument/2006/relationships/hyperlink" Target="https://zakon.rada.gov.ua/laws/show/z0865-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z0865-24" TargetMode="External"/><Relationship Id="rId17" Type="http://schemas.openxmlformats.org/officeDocument/2006/relationships/hyperlink" Target="https://zakon.rada.gov.ua/laws/show/z0865-24" TargetMode="External"/><Relationship Id="rId25" Type="http://schemas.openxmlformats.org/officeDocument/2006/relationships/hyperlink" Target="https://zakon.rada.gov.ua/laws/show/z0865-24" TargetMode="External"/><Relationship Id="rId33" Type="http://schemas.openxmlformats.org/officeDocument/2006/relationships/hyperlink" Target="https://zakon.rada.gov.ua/laws/show/z0865-24" TargetMode="External"/><Relationship Id="rId38" Type="http://schemas.openxmlformats.org/officeDocument/2006/relationships/hyperlink" Target="https://zakon.rada.gov.ua/laws/show/z0865-2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zakon.rada.gov.ua/laws/show/z0865-24" TargetMode="External"/><Relationship Id="rId41" Type="http://schemas.openxmlformats.org/officeDocument/2006/relationships/hyperlink" Target="https://zakon.rada.gov.ua/laws/show/z0834-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2C8D-01B6-438A-9F1D-4109357B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11587</Words>
  <Characters>6605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Світлана Миколаївна</dc:creator>
  <cp:keywords/>
  <dc:description/>
  <cp:lastModifiedBy>Панченко Світлана Миколаївна</cp:lastModifiedBy>
  <cp:revision>2</cp:revision>
  <cp:lastPrinted>2024-09-03T12:07:00Z</cp:lastPrinted>
  <dcterms:created xsi:type="dcterms:W3CDTF">2024-09-03T12:10:00Z</dcterms:created>
  <dcterms:modified xsi:type="dcterms:W3CDTF">2024-09-03T12:10:00Z</dcterms:modified>
</cp:coreProperties>
</file>